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ind w:firstLine="0" w:firstLineChars="0"/>
        <w:jc w:val="both"/>
        <w:textAlignment w:val="baseline"/>
        <w:rPr>
          <w:rFonts w:ascii="Times New Roman" w:hAnsi="Times New Roman" w:eastAsia="方正小标宋简体" w:cs="Times New Roman"/>
          <w:bCs/>
          <w:color w:val="000000"/>
          <w:kern w:val="16"/>
          <w:sz w:val="44"/>
          <w:szCs w:val="44"/>
        </w:rPr>
      </w:pPr>
      <w:bookmarkStart w:id="76" w:name="_GoBack"/>
      <w:bookmarkEnd w:id="76"/>
    </w:p>
    <w:p>
      <w:pPr>
        <w:snapToGrid w:val="0"/>
        <w:spacing w:line="580" w:lineRule="exact"/>
        <w:jc w:val="center"/>
        <w:textAlignment w:val="baseline"/>
        <w:rPr>
          <w:rFonts w:ascii="Times New Roman" w:hAnsi="Times New Roman" w:eastAsia="方正小标宋简体" w:cs="Times New Roman"/>
          <w:bCs/>
          <w:kern w:val="0"/>
          <w:sz w:val="44"/>
          <w:szCs w:val="44"/>
        </w:rPr>
      </w:pPr>
      <w:r>
        <w:rPr>
          <w:rFonts w:hint="eastAsia" w:ascii="Times New Roman" w:hAnsi="Times New Roman" w:eastAsia="方正小标宋简体" w:cs="Times New Roman"/>
          <w:bCs/>
          <w:kern w:val="0"/>
          <w:sz w:val="44"/>
          <w:szCs w:val="44"/>
        </w:rPr>
        <w:t>部门整体绩效评价报告</w:t>
      </w:r>
    </w:p>
    <w:p>
      <w:pPr>
        <w:spacing w:after="240" w:line="540" w:lineRule="exact"/>
        <w:jc w:val="center"/>
        <w:textAlignment w:val="baseline"/>
        <w:rPr>
          <w:rFonts w:ascii="Times New Roman" w:hAnsi="Times New Roman" w:cs="Times New Roman"/>
          <w:b/>
          <w:bCs/>
          <w:spacing w:val="50"/>
          <w:sz w:val="32"/>
          <w:szCs w:val="32"/>
        </w:rPr>
      </w:pPr>
    </w:p>
    <w:p>
      <w:pPr>
        <w:snapToGrid w:val="0"/>
        <w:spacing w:after="312" w:line="300" w:lineRule="auto"/>
        <w:textAlignment w:val="baseline"/>
        <w:rPr>
          <w:rFonts w:ascii="Times New Roman" w:hAnsi="Times New Roman" w:eastAsia="仿宋_GB2312" w:cs="Times New Roman"/>
          <w:b/>
          <w:bCs/>
          <w:sz w:val="36"/>
          <w:szCs w:val="20"/>
        </w:rPr>
      </w:pPr>
    </w:p>
    <w:p>
      <w:pPr>
        <w:pStyle w:val="9"/>
        <w:rPr>
          <w:rFonts w:ascii="Times New Roman" w:hAnsi="Times New Roman" w:eastAsia="仿宋_GB2312" w:cs="Times New Roman"/>
          <w:b/>
          <w:bCs/>
          <w:sz w:val="36"/>
          <w:szCs w:val="20"/>
        </w:rPr>
      </w:pPr>
    </w:p>
    <w:p>
      <w:pPr>
        <w:pStyle w:val="9"/>
        <w:rPr>
          <w:rFonts w:ascii="Times New Roman" w:hAnsi="Times New Roman" w:eastAsia="仿宋_GB2312" w:cs="Times New Roman"/>
          <w:b/>
          <w:bCs/>
          <w:sz w:val="36"/>
          <w:szCs w:val="20"/>
        </w:rPr>
      </w:pPr>
    </w:p>
    <w:p>
      <w:pPr>
        <w:pStyle w:val="9"/>
        <w:rPr>
          <w:rFonts w:ascii="Times New Roman" w:hAnsi="Times New Roman" w:eastAsia="仿宋_GB2312" w:cs="Times New Roman"/>
          <w:b/>
          <w:bCs/>
          <w:sz w:val="36"/>
          <w:szCs w:val="20"/>
        </w:rPr>
      </w:pPr>
    </w:p>
    <w:p>
      <w:pPr>
        <w:pStyle w:val="9"/>
        <w:ind w:left="0" w:leftChars="0"/>
        <w:rPr>
          <w:rFonts w:ascii="Times New Roman" w:hAnsi="Times New Roman" w:eastAsia="仿宋_GB2312" w:cs="Times New Roman"/>
          <w:b/>
          <w:bCs/>
          <w:sz w:val="36"/>
          <w:szCs w:val="20"/>
        </w:rPr>
      </w:pPr>
    </w:p>
    <w:p>
      <w:pPr>
        <w:pStyle w:val="9"/>
        <w:rPr>
          <w:rFonts w:ascii="Times New Roman" w:hAnsi="Times New Roman" w:eastAsia="仿宋_GB2312" w:cs="Times New Roman"/>
          <w:b/>
          <w:bCs/>
          <w:sz w:val="36"/>
          <w:szCs w:val="20"/>
        </w:rPr>
      </w:pPr>
    </w:p>
    <w:p>
      <w:pPr>
        <w:widowControl/>
        <w:jc w:val="left"/>
        <w:rPr>
          <w:rFonts w:ascii="Times New Roman" w:hAnsi="Times New Roman" w:eastAsia="仿宋_GB2312" w:cs="Times New Roman"/>
          <w:bCs/>
          <w:kern w:val="0"/>
          <w:sz w:val="32"/>
          <w:szCs w:val="32"/>
        </w:rPr>
      </w:pPr>
    </w:p>
    <w:p>
      <w:pPr>
        <w:snapToGrid w:val="0"/>
        <w:spacing w:line="360" w:lineRule="auto"/>
        <w:ind w:left="525" w:leftChars="250" w:right="525"/>
        <w:jc w:val="left"/>
        <w:textAlignment w:val="baseline"/>
        <w:rPr>
          <w:rFonts w:ascii="Times New Roman" w:hAnsi="Times New Roman" w:eastAsia="仿宋_GB2312" w:cs="Times New Roman"/>
          <w:kern w:val="0"/>
          <w:sz w:val="32"/>
          <w:szCs w:val="32"/>
          <w:u w:val="single"/>
        </w:rPr>
      </w:pPr>
      <w:r>
        <w:rPr>
          <w:rFonts w:ascii="Times New Roman" w:hAnsi="Times New Roman" w:eastAsia="仿宋_GB2312" w:cs="Times New Roman"/>
          <w:b/>
          <w:sz w:val="32"/>
          <w:szCs w:val="32"/>
        </w:rPr>
        <w:t>实施部门：</w:t>
      </w:r>
      <w:r>
        <w:rPr>
          <w:rFonts w:ascii="Times New Roman" w:hAnsi="Times New Roman" w:eastAsia="仿宋_GB2312" w:cs="Times New Roman"/>
          <w:color w:val="000000"/>
          <w:kern w:val="16"/>
          <w:sz w:val="32"/>
          <w:szCs w:val="32"/>
          <w:u w:val="single" w:color="000000"/>
        </w:rPr>
        <w:t xml:space="preserve">      北京市人民政府外事办公室           </w:t>
      </w:r>
      <w:r>
        <w:rPr>
          <w:rFonts w:ascii="Times New Roman" w:hAnsi="Times New Roman" w:eastAsia="仿宋_GB2312" w:cs="Times New Roman"/>
          <w:bCs/>
          <w:kern w:val="0"/>
          <w:sz w:val="32"/>
          <w:szCs w:val="32"/>
        </w:rPr>
        <w:t xml:space="preserve"> </w:t>
      </w:r>
    </w:p>
    <w:p>
      <w:pPr>
        <w:adjustRightInd w:val="0"/>
        <w:snapToGrid w:val="0"/>
        <w:spacing w:line="360" w:lineRule="auto"/>
        <w:ind w:left="2291" w:leftChars="250" w:right="539" w:hanging="1766" w:hangingChars="550"/>
        <w:jc w:val="left"/>
        <w:textAlignment w:val="baseline"/>
        <w:rPr>
          <w:rFonts w:ascii="Times New Roman" w:hAnsi="Times New Roman" w:eastAsia="仿宋_GB2312" w:cs="Times New Roman"/>
          <w:color w:val="000000"/>
          <w:kern w:val="16"/>
          <w:sz w:val="32"/>
          <w:szCs w:val="32"/>
          <w:u w:val="single" w:color="000000"/>
        </w:rPr>
      </w:pPr>
      <w:r>
        <w:rPr>
          <w:rFonts w:ascii="Times New Roman" w:hAnsi="Times New Roman" w:eastAsia="仿宋_GB2312" w:cs="Times New Roman"/>
          <w:b/>
          <w:sz w:val="32"/>
          <w:szCs w:val="32"/>
        </w:rPr>
        <w:t>项目名称：</w:t>
      </w:r>
      <w:r>
        <w:rPr>
          <w:rFonts w:ascii="Times New Roman" w:hAnsi="Times New Roman" w:eastAsia="仿宋_GB2312" w:cs="Times New Roman"/>
          <w:bCs/>
          <w:kern w:val="0"/>
          <w:sz w:val="32"/>
          <w:szCs w:val="32"/>
          <w:u w:val="single" w:color="000000"/>
        </w:rPr>
        <w:t xml:space="preserve">       </w:t>
      </w:r>
      <w:r>
        <w:rPr>
          <w:rFonts w:ascii="Times New Roman" w:hAnsi="Times New Roman" w:eastAsia="仿宋_GB2312" w:cs="Times New Roman"/>
          <w:color w:val="000000"/>
          <w:kern w:val="16"/>
          <w:sz w:val="32"/>
          <w:szCs w:val="32"/>
          <w:u w:val="single" w:color="000000"/>
        </w:rPr>
        <w:t>2024</w:t>
      </w:r>
      <w:r>
        <w:rPr>
          <w:rFonts w:hint="eastAsia" w:ascii="Times New Roman" w:hAnsi="Times New Roman" w:eastAsia="仿宋_GB2312" w:cs="Times New Roman"/>
          <w:color w:val="000000"/>
          <w:kern w:val="16"/>
          <w:sz w:val="32"/>
          <w:szCs w:val="32"/>
          <w:u w:val="single" w:color="000000"/>
        </w:rPr>
        <w:t>年部门整体绩效评价</w:t>
      </w:r>
      <w:r>
        <w:rPr>
          <w:rFonts w:ascii="Times New Roman" w:hAnsi="Times New Roman" w:eastAsia="仿宋_GB2312" w:cs="Times New Roman"/>
          <w:color w:val="000000"/>
          <w:kern w:val="16"/>
          <w:sz w:val="32"/>
          <w:szCs w:val="32"/>
          <w:u w:val="single" w:color="000000"/>
        </w:rPr>
        <w:t xml:space="preserve">       </w:t>
      </w:r>
    </w:p>
    <w:p>
      <w:pPr>
        <w:spacing w:line="480" w:lineRule="auto"/>
        <w:jc w:val="center"/>
        <w:textAlignment w:val="baseline"/>
        <w:rPr>
          <w:rFonts w:ascii="Times New Roman" w:hAnsi="Times New Roman" w:eastAsia="黑体" w:cs="Times New Roman"/>
          <w:b/>
          <w:sz w:val="32"/>
          <w:szCs w:val="20"/>
        </w:rPr>
      </w:pPr>
    </w:p>
    <w:p>
      <w:pPr>
        <w:rPr>
          <w:rFonts w:ascii="Times New Roman" w:hAnsi="Times New Roman" w:cs="Times New Roman"/>
        </w:rPr>
      </w:pPr>
    </w:p>
    <w:p>
      <w:pPr>
        <w:spacing w:line="480" w:lineRule="auto"/>
        <w:textAlignment w:val="baseline"/>
        <w:rPr>
          <w:rFonts w:ascii="Times New Roman" w:hAnsi="Times New Roman" w:eastAsia="黑体" w:cs="Times New Roman"/>
          <w:b/>
          <w:sz w:val="32"/>
          <w:szCs w:val="20"/>
        </w:rPr>
      </w:pPr>
    </w:p>
    <w:p>
      <w:pPr>
        <w:snapToGrid w:val="0"/>
        <w:spacing w:line="360" w:lineRule="auto"/>
        <w:jc w:val="center"/>
        <w:rPr>
          <w:rFonts w:ascii="Times New Roman" w:hAnsi="Times New Roman" w:eastAsia="宋体" w:cs="Times New Roman"/>
          <w:b/>
          <w:sz w:val="32"/>
          <w:szCs w:val="32"/>
        </w:rPr>
      </w:pPr>
      <w:bookmarkStart w:id="0" w:name="_Hlk71569008"/>
      <w:r>
        <w:rPr>
          <w:rFonts w:hint="eastAsia" w:ascii="Times New Roman" w:hAnsi="Times New Roman" w:eastAsia="宋体" w:cs="Times New Roman"/>
          <w:b/>
          <w:sz w:val="32"/>
          <w:szCs w:val="32"/>
        </w:rPr>
        <w:t>北京市人民政府外事办公室</w:t>
      </w:r>
    </w:p>
    <w:bookmarkEnd w:id="0"/>
    <w:p>
      <w:pPr>
        <w:jc w:val="center"/>
        <w:textAlignment w:val="baseline"/>
        <w:rPr>
          <w:rFonts w:ascii="Times New Roman" w:hAnsi="Times New Roman" w:eastAsia="宋体" w:cs="Times New Roman"/>
          <w:b/>
          <w:kern w:val="44"/>
          <w:sz w:val="32"/>
          <w:szCs w:val="32"/>
        </w:rPr>
      </w:pPr>
      <w:r>
        <w:rPr>
          <w:rFonts w:ascii="Times New Roman" w:hAnsi="Times New Roman" w:eastAsia="宋体" w:cs="Times New Roman"/>
          <w:b/>
          <w:kern w:val="44"/>
          <w:sz w:val="32"/>
          <w:szCs w:val="32"/>
        </w:rPr>
        <w:t>2025</w:t>
      </w:r>
      <w:r>
        <w:rPr>
          <w:rFonts w:hint="eastAsia" w:ascii="Times New Roman" w:hAnsi="Times New Roman" w:eastAsia="宋体" w:cs="Times New Roman"/>
          <w:b/>
          <w:kern w:val="44"/>
          <w:sz w:val="32"/>
          <w:szCs w:val="32"/>
        </w:rPr>
        <w:t>年</w:t>
      </w:r>
      <w:r>
        <w:rPr>
          <w:rFonts w:ascii="Times New Roman" w:hAnsi="Times New Roman" w:eastAsia="宋体" w:cs="Times New Roman"/>
          <w:b/>
          <w:kern w:val="44"/>
          <w:sz w:val="32"/>
          <w:szCs w:val="32"/>
        </w:rPr>
        <w:t>5</w:t>
      </w:r>
      <w:r>
        <w:rPr>
          <w:rFonts w:hint="eastAsia" w:ascii="Times New Roman" w:hAnsi="Times New Roman" w:eastAsia="宋体" w:cs="Times New Roman"/>
          <w:b/>
          <w:kern w:val="44"/>
          <w:sz w:val="32"/>
          <w:szCs w:val="32"/>
        </w:rPr>
        <w:t>月</w:t>
      </w:r>
    </w:p>
    <w:p>
      <w:pPr>
        <w:rPr>
          <w:rFonts w:ascii="Times New Roman" w:hAnsi="Times New Roman" w:eastAsia="宋体" w:cs="Times New Roman"/>
          <w:b/>
          <w:kern w:val="44"/>
          <w:sz w:val="32"/>
          <w:szCs w:val="32"/>
        </w:rPr>
      </w:pPr>
      <w:r>
        <w:rPr>
          <w:rFonts w:ascii="Times New Roman" w:hAnsi="Times New Roman" w:eastAsia="宋体" w:cs="Times New Roman"/>
          <w:b/>
          <w:kern w:val="44"/>
          <w:sz w:val="32"/>
          <w:szCs w:val="32"/>
        </w:rPr>
        <w:br w:type="page"/>
      </w:r>
    </w:p>
    <w:sdt>
      <w:sdtPr>
        <w:rPr>
          <w:rFonts w:ascii="Times New Roman" w:hAnsi="Times New Roman" w:eastAsia="宋体" w:cs="Times New Roman"/>
          <w:b/>
          <w:bCs/>
          <w:sz w:val="44"/>
          <w:szCs w:val="44"/>
        </w:rPr>
        <w:id w:val="147451666"/>
        <w15:color w:val="DBDBDB"/>
        <w:docPartObj>
          <w:docPartGallery w:val="Table of Contents"/>
          <w:docPartUnique/>
        </w:docPartObj>
      </w:sdtPr>
      <w:sdtEndPr>
        <w:rPr>
          <w:rFonts w:ascii="Times New Roman" w:hAnsi="Times New Roman" w:cs="Times New Roman" w:eastAsiaTheme="minorEastAsia"/>
          <w:b/>
          <w:bCs/>
          <w:sz w:val="28"/>
          <w:szCs w:val="28"/>
        </w:rPr>
      </w:sdtEndPr>
      <w:sdtContent>
        <w:p>
          <w:pPr>
            <w:spacing w:after="0" w:line="240" w:lineRule="auto"/>
            <w:jc w:val="center"/>
            <w:textAlignment w:val="baseline"/>
            <w:rPr>
              <w:rFonts w:ascii="Times New Roman" w:hAnsi="Times New Roman" w:cs="Times New Roman"/>
              <w:b/>
              <w:bCs/>
              <w:sz w:val="44"/>
              <w:szCs w:val="44"/>
            </w:rPr>
          </w:pPr>
          <w:r>
            <w:rPr>
              <w:rFonts w:ascii="Times New Roman" w:hAnsi="Times New Roman" w:eastAsia="宋体" w:cs="Times New Roman"/>
              <w:b/>
              <w:bCs/>
              <w:sz w:val="44"/>
              <w:szCs w:val="44"/>
            </w:rPr>
            <w:t>目 录</w:t>
          </w:r>
        </w:p>
        <w:p>
          <w:pPr>
            <w:pStyle w:val="12"/>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TOC \o "1-2" \h \u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_Toc23316 </w:instrText>
          </w:r>
          <w:r>
            <w:rPr>
              <w:rFonts w:ascii="Times New Roman" w:hAnsi="Times New Roman" w:cs="Times New Roman"/>
              <w:sz w:val="28"/>
              <w:szCs w:val="28"/>
            </w:rPr>
            <w:fldChar w:fldCharType="separate"/>
          </w:r>
          <w:r>
            <w:rPr>
              <w:rFonts w:hint="eastAsia" w:ascii="Times New Roman" w:hAnsi="Times New Roman" w:eastAsia="黑体" w:cs="Times New Roman"/>
              <w:sz w:val="28"/>
              <w:szCs w:val="28"/>
            </w:rPr>
            <w:t>一、部门概况</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_Toc23316 \h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4"/>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_Toc24814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（一）机构设置及职责工作任务情况</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_Toc24814 \h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4"/>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_Toc401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（二）部门整体绩效目标设立情况</w:t>
          </w:r>
          <w:r>
            <w:rPr>
              <w:rFonts w:ascii="Times New Roman" w:hAnsi="Times New Roman" w:cs="Times New Roman"/>
              <w:sz w:val="28"/>
              <w:szCs w:val="28"/>
            </w:rPr>
            <w:tab/>
          </w:r>
          <w:r>
            <w:rPr>
              <w:rFonts w:hint="eastAsia" w:ascii="Times New Roman" w:hAnsi="Times New Roman" w:cs="Times New Roman"/>
              <w:sz w:val="28"/>
              <w:szCs w:val="28"/>
              <w:lang w:val="en-US" w:eastAsia="zh-CN"/>
            </w:rPr>
            <w:t>3</w:t>
          </w:r>
          <w:r>
            <w:rPr>
              <w:rFonts w:ascii="Times New Roman" w:hAnsi="Times New Roman" w:cs="Times New Roman"/>
              <w:sz w:val="28"/>
              <w:szCs w:val="28"/>
            </w:rPr>
            <w:fldChar w:fldCharType="end"/>
          </w:r>
        </w:p>
        <w:p>
          <w:pPr>
            <w:pStyle w:val="12"/>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_Toc17412 </w:instrText>
          </w:r>
          <w:r>
            <w:rPr>
              <w:rFonts w:ascii="Times New Roman" w:hAnsi="Times New Roman" w:cs="Times New Roman"/>
              <w:sz w:val="28"/>
              <w:szCs w:val="28"/>
            </w:rPr>
            <w:fldChar w:fldCharType="separate"/>
          </w:r>
          <w:r>
            <w:rPr>
              <w:rFonts w:hint="eastAsia" w:ascii="Times New Roman" w:hAnsi="Times New Roman" w:eastAsia="黑体" w:cs="Times New Roman"/>
              <w:sz w:val="28"/>
              <w:szCs w:val="28"/>
            </w:rPr>
            <w:t>二、当年预算执行情况</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_Toc17412 \h </w:instrText>
          </w:r>
          <w:r>
            <w:rPr>
              <w:rFonts w:ascii="Times New Roman" w:hAnsi="Times New Roman" w:cs="Times New Roman"/>
              <w:sz w:val="28"/>
              <w:szCs w:val="28"/>
            </w:rPr>
            <w:fldChar w:fldCharType="separate"/>
          </w:r>
          <w:r>
            <w:rPr>
              <w:rFonts w:ascii="Times New Roman" w:hAnsi="Times New Roman" w:cs="Times New Roman"/>
              <w:sz w:val="28"/>
              <w:szCs w:val="28"/>
            </w:rPr>
            <w:t>5</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2"/>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_Toc7884 </w:instrText>
          </w:r>
          <w:r>
            <w:rPr>
              <w:rFonts w:ascii="Times New Roman" w:hAnsi="Times New Roman" w:cs="Times New Roman"/>
              <w:sz w:val="28"/>
              <w:szCs w:val="28"/>
            </w:rPr>
            <w:fldChar w:fldCharType="separate"/>
          </w:r>
          <w:r>
            <w:rPr>
              <w:rFonts w:hint="eastAsia" w:ascii="Times New Roman" w:hAnsi="Times New Roman" w:eastAsia="黑体" w:cs="Times New Roman"/>
              <w:kern w:val="0"/>
              <w:sz w:val="28"/>
              <w:szCs w:val="28"/>
            </w:rPr>
            <w:t>三</w:t>
          </w:r>
          <w:r>
            <w:rPr>
              <w:rFonts w:ascii="Times New Roman" w:hAnsi="Times New Roman" w:eastAsia="黑体" w:cs="Times New Roman"/>
              <w:kern w:val="0"/>
              <w:sz w:val="28"/>
              <w:szCs w:val="28"/>
            </w:rPr>
            <w:t>、整体绩效目标实现情况</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_Toc7884 \h </w:instrText>
          </w:r>
          <w:r>
            <w:rPr>
              <w:rFonts w:ascii="Times New Roman" w:hAnsi="Times New Roman" w:cs="Times New Roman"/>
              <w:sz w:val="28"/>
              <w:szCs w:val="28"/>
            </w:rPr>
            <w:fldChar w:fldCharType="separate"/>
          </w:r>
          <w:r>
            <w:rPr>
              <w:rFonts w:ascii="Times New Roman" w:hAnsi="Times New Roman" w:cs="Times New Roman"/>
              <w:sz w:val="28"/>
              <w:szCs w:val="28"/>
            </w:rPr>
            <w:t>5</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4"/>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_Toc14972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（一）产出完成情况分析</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_Toc14972 \h </w:instrText>
          </w:r>
          <w:r>
            <w:rPr>
              <w:rFonts w:ascii="Times New Roman" w:hAnsi="Times New Roman" w:cs="Times New Roman"/>
              <w:sz w:val="28"/>
              <w:szCs w:val="28"/>
            </w:rPr>
            <w:fldChar w:fldCharType="separate"/>
          </w:r>
          <w:r>
            <w:rPr>
              <w:rFonts w:ascii="Times New Roman" w:hAnsi="Times New Roman" w:cs="Times New Roman"/>
              <w:sz w:val="28"/>
              <w:szCs w:val="28"/>
            </w:rPr>
            <w:t>5</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4"/>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_Toc27645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（二）效果实现情况分析</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_Toc27645 \h </w:instrText>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2"/>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_Toc28601 </w:instrText>
          </w:r>
          <w:r>
            <w:rPr>
              <w:rFonts w:ascii="Times New Roman" w:hAnsi="Times New Roman" w:cs="Times New Roman"/>
              <w:sz w:val="28"/>
              <w:szCs w:val="28"/>
            </w:rPr>
            <w:fldChar w:fldCharType="separate"/>
          </w:r>
          <w:r>
            <w:rPr>
              <w:rFonts w:hint="eastAsia" w:ascii="Times New Roman" w:hAnsi="Times New Roman" w:eastAsia="黑体" w:cs="Times New Roman"/>
              <w:sz w:val="28"/>
              <w:szCs w:val="28"/>
            </w:rPr>
            <w:t>四、预算管理情况分析</w:t>
          </w:r>
          <w:r>
            <w:rPr>
              <w:rFonts w:ascii="Times New Roman" w:hAnsi="Times New Roman" w:cs="Times New Roman"/>
              <w:sz w:val="28"/>
              <w:szCs w:val="28"/>
            </w:rPr>
            <w:tab/>
          </w:r>
          <w:r>
            <w:rPr>
              <w:rFonts w:hint="eastAsia" w:ascii="Times New Roman" w:hAnsi="Times New Roman" w:cs="Times New Roman"/>
              <w:sz w:val="28"/>
              <w:szCs w:val="28"/>
              <w:lang w:val="en-US" w:eastAsia="zh-CN"/>
            </w:rPr>
            <w:t>7</w:t>
          </w:r>
          <w:r>
            <w:rPr>
              <w:rFonts w:ascii="Times New Roman" w:hAnsi="Times New Roman" w:cs="Times New Roman"/>
              <w:sz w:val="28"/>
              <w:szCs w:val="28"/>
            </w:rPr>
            <w:fldChar w:fldCharType="end"/>
          </w:r>
        </w:p>
        <w:p>
          <w:pPr>
            <w:pStyle w:val="14"/>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_Toc27131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（一）财务管理</w:t>
          </w:r>
          <w:r>
            <w:rPr>
              <w:rFonts w:ascii="Times New Roman" w:hAnsi="Times New Roman" w:cs="Times New Roman"/>
              <w:sz w:val="28"/>
              <w:szCs w:val="28"/>
            </w:rPr>
            <w:tab/>
          </w:r>
          <w:r>
            <w:rPr>
              <w:rFonts w:hint="eastAsia" w:ascii="Times New Roman" w:hAnsi="Times New Roman" w:cs="Times New Roman"/>
              <w:sz w:val="28"/>
              <w:szCs w:val="28"/>
              <w:lang w:val="en-US" w:eastAsia="zh-CN"/>
            </w:rPr>
            <w:t>7</w:t>
          </w:r>
          <w:r>
            <w:rPr>
              <w:rFonts w:ascii="Times New Roman" w:hAnsi="Times New Roman" w:cs="Times New Roman"/>
              <w:sz w:val="28"/>
              <w:szCs w:val="28"/>
            </w:rPr>
            <w:fldChar w:fldCharType="end"/>
          </w:r>
        </w:p>
        <w:p>
          <w:pPr>
            <w:pStyle w:val="14"/>
            <w:tabs>
              <w:tab w:val="right" w:leader="dot" w:pos="8504"/>
            </w:tabs>
            <w:spacing w:after="0" w:line="240" w:lineRule="auto"/>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_Toc16450 </w:instrText>
          </w:r>
          <w:r>
            <w:rPr>
              <w:rFonts w:ascii="Times New Roman" w:hAnsi="Times New Roman" w:cs="Times New Roman"/>
              <w:sz w:val="28"/>
              <w:szCs w:val="28"/>
            </w:rPr>
            <w:fldChar w:fldCharType="separate"/>
          </w:r>
          <w:r>
            <w:rPr>
              <w:rFonts w:hint="eastAsia" w:ascii="Times New Roman" w:hAnsi="Times New Roman" w:eastAsia="楷体_GB2312" w:cs="Times New Roman"/>
              <w:sz w:val="28"/>
              <w:szCs w:val="28"/>
            </w:rPr>
            <w:t>（二）资产管理</w:t>
          </w:r>
          <w:r>
            <w:rPr>
              <w:rFonts w:ascii="Times New Roman" w:hAnsi="Times New Roman" w:cs="Times New Roman"/>
              <w:sz w:val="28"/>
              <w:szCs w:val="28"/>
            </w:rPr>
            <w:tab/>
          </w:r>
          <w:r>
            <w:rPr>
              <w:rFonts w:hint="default" w:ascii="Times New Roman" w:hAnsi="Times New Roman" w:cs="Times New Roman"/>
              <w:sz w:val="28"/>
              <w:szCs w:val="28"/>
              <w:lang w:val="en"/>
            </w:rPr>
            <w:t>9</w:t>
          </w:r>
          <w:r>
            <w:rPr>
              <w:rFonts w:ascii="Times New Roman" w:hAnsi="Times New Roman" w:cs="Times New Roman"/>
              <w:sz w:val="28"/>
              <w:szCs w:val="28"/>
            </w:rPr>
            <w:fldChar w:fldCharType="end"/>
          </w:r>
        </w:p>
        <w:p>
          <w:pPr>
            <w:pStyle w:val="14"/>
            <w:tabs>
              <w:tab w:val="right" w:leader="dot" w:pos="8504"/>
            </w:tabs>
            <w:spacing w:after="0" w:line="240" w:lineRule="auto"/>
            <w:rPr>
              <w:rFonts w:hint="default" w:ascii="Times New Roman" w:hAnsi="Times New Roman" w:cs="Times New Roman"/>
              <w:sz w:val="28"/>
              <w:szCs w:val="28"/>
              <w:lang w:val="en"/>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_Toc11768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（三）绩效管理</w:t>
          </w:r>
          <w:r>
            <w:rPr>
              <w:rFonts w:ascii="Times New Roman" w:hAnsi="Times New Roman" w:cs="Times New Roman"/>
              <w:sz w:val="28"/>
              <w:szCs w:val="28"/>
            </w:rPr>
            <w:tab/>
          </w:r>
          <w:r>
            <w:rPr>
              <w:rFonts w:hint="eastAsia" w:ascii="Times New Roman" w:hAnsi="Times New Roman" w:cs="Times New Roman"/>
              <w:sz w:val="28"/>
              <w:szCs w:val="28"/>
              <w:lang w:val="en-US" w:eastAsia="zh-CN"/>
            </w:rPr>
            <w:t>9</w:t>
          </w:r>
          <w:r>
            <w:rPr>
              <w:rFonts w:ascii="Times New Roman" w:hAnsi="Times New Roman" w:cs="Times New Roman"/>
              <w:sz w:val="28"/>
              <w:szCs w:val="28"/>
            </w:rPr>
            <w:fldChar w:fldCharType="end"/>
          </w:r>
        </w:p>
        <w:p>
          <w:pPr>
            <w:pStyle w:val="14"/>
            <w:tabs>
              <w:tab w:val="right" w:leader="dot" w:pos="8504"/>
            </w:tabs>
            <w:spacing w:after="0" w:line="240" w:lineRule="auto"/>
            <w:rPr>
              <w:rFonts w:hint="default" w:ascii="Times New Roman" w:hAnsi="Times New Roman" w:cs="Times New Roman"/>
              <w:sz w:val="28"/>
              <w:szCs w:val="28"/>
              <w:lang w:val="en"/>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_Toc5157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（四）结转结余率</w:t>
          </w:r>
          <w:r>
            <w:rPr>
              <w:rFonts w:ascii="Times New Roman" w:hAnsi="Times New Roman" w:cs="Times New Roman"/>
              <w:sz w:val="28"/>
              <w:szCs w:val="28"/>
            </w:rPr>
            <w:tab/>
          </w:r>
          <w:r>
            <w:rPr>
              <w:rFonts w:ascii="Times New Roman" w:hAnsi="Times New Roman" w:cs="Times New Roman"/>
              <w:sz w:val="28"/>
              <w:szCs w:val="28"/>
            </w:rPr>
            <w:t>1</w:t>
          </w:r>
          <w:r>
            <w:rPr>
              <w:rFonts w:ascii="Times New Roman" w:hAnsi="Times New Roman" w:cs="Times New Roman"/>
              <w:sz w:val="28"/>
              <w:szCs w:val="28"/>
            </w:rPr>
            <w:fldChar w:fldCharType="end"/>
          </w:r>
          <w:r>
            <w:rPr>
              <w:rFonts w:hint="default" w:ascii="Times New Roman" w:hAnsi="Times New Roman" w:cs="Times New Roman"/>
              <w:sz w:val="28"/>
              <w:szCs w:val="28"/>
              <w:lang w:val="en"/>
            </w:rPr>
            <w:t>0</w:t>
          </w:r>
        </w:p>
        <w:p>
          <w:pPr>
            <w:pStyle w:val="14"/>
            <w:tabs>
              <w:tab w:val="right" w:leader="dot" w:pos="8504"/>
            </w:tabs>
            <w:spacing w:after="0" w:line="240" w:lineRule="auto"/>
            <w:rPr>
              <w:rFonts w:hint="eastAsia" w:ascii="Times New Roman" w:hAnsi="Times New Roman" w:cs="Times New Roman" w:eastAsiaTheme="minorEastAsia"/>
              <w:sz w:val="28"/>
              <w:szCs w:val="28"/>
              <w:lang w:val="en" w:eastAsia="zh-CN"/>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_Toc4325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（五）部门预决算差异率</w:t>
          </w:r>
          <w:r>
            <w:rPr>
              <w:rFonts w:ascii="Times New Roman" w:hAnsi="Times New Roman" w:cs="Times New Roman"/>
              <w:sz w:val="28"/>
              <w:szCs w:val="28"/>
            </w:rPr>
            <w:tab/>
          </w:r>
          <w:r>
            <w:rPr>
              <w:rFonts w:ascii="Times New Roman" w:hAnsi="Times New Roman" w:cs="Times New Roman"/>
              <w:sz w:val="28"/>
              <w:szCs w:val="28"/>
            </w:rPr>
            <w:t>1</w:t>
          </w:r>
          <w:r>
            <w:rPr>
              <w:rFonts w:ascii="Times New Roman" w:hAnsi="Times New Roman" w:cs="Times New Roman"/>
              <w:sz w:val="28"/>
              <w:szCs w:val="28"/>
            </w:rPr>
            <w:fldChar w:fldCharType="end"/>
          </w:r>
          <w:r>
            <w:rPr>
              <w:rFonts w:hint="eastAsia" w:ascii="Times New Roman" w:hAnsi="Times New Roman" w:cs="Times New Roman"/>
              <w:sz w:val="28"/>
              <w:szCs w:val="28"/>
              <w:lang w:val="en-US" w:eastAsia="zh-CN"/>
            </w:rPr>
            <w:t>0</w:t>
          </w:r>
        </w:p>
        <w:p>
          <w:pPr>
            <w:pStyle w:val="12"/>
            <w:tabs>
              <w:tab w:val="right" w:leader="dot" w:pos="8504"/>
            </w:tabs>
            <w:spacing w:after="0" w:line="240" w:lineRule="auto"/>
            <w:rPr>
              <w:rFonts w:hint="default" w:ascii="Times New Roman" w:hAnsi="Times New Roman" w:cs="Times New Roman"/>
              <w:sz w:val="28"/>
              <w:szCs w:val="28"/>
              <w:lang w:val="en"/>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_Toc5438 </w:instrText>
          </w:r>
          <w:r>
            <w:rPr>
              <w:rFonts w:ascii="Times New Roman" w:hAnsi="Times New Roman" w:cs="Times New Roman"/>
              <w:sz w:val="28"/>
              <w:szCs w:val="28"/>
            </w:rPr>
            <w:fldChar w:fldCharType="separate"/>
          </w:r>
          <w:r>
            <w:rPr>
              <w:rFonts w:hint="eastAsia" w:ascii="Times New Roman" w:hAnsi="Times New Roman" w:eastAsia="黑体" w:cs="Times New Roman"/>
              <w:sz w:val="28"/>
              <w:szCs w:val="28"/>
            </w:rPr>
            <w:t>五、总体</w:t>
          </w:r>
          <w:r>
            <w:rPr>
              <w:rFonts w:ascii="Times New Roman" w:hAnsi="Times New Roman" w:eastAsia="黑体" w:cs="Times New Roman"/>
              <w:sz w:val="28"/>
              <w:szCs w:val="28"/>
            </w:rPr>
            <w:t>评价结论</w:t>
          </w:r>
          <w:r>
            <w:rPr>
              <w:rFonts w:ascii="Times New Roman" w:hAnsi="Times New Roman" w:cs="Times New Roman"/>
              <w:sz w:val="28"/>
              <w:szCs w:val="28"/>
            </w:rPr>
            <w:tab/>
          </w:r>
          <w:r>
            <w:rPr>
              <w:rFonts w:ascii="Times New Roman" w:hAnsi="Times New Roman" w:cs="Times New Roman"/>
              <w:sz w:val="28"/>
              <w:szCs w:val="28"/>
            </w:rPr>
            <w:t>1</w:t>
          </w:r>
          <w:r>
            <w:rPr>
              <w:rFonts w:ascii="Times New Roman" w:hAnsi="Times New Roman" w:cs="Times New Roman"/>
              <w:sz w:val="28"/>
              <w:szCs w:val="28"/>
            </w:rPr>
            <w:fldChar w:fldCharType="end"/>
          </w:r>
          <w:r>
            <w:rPr>
              <w:rFonts w:hint="default" w:ascii="Times New Roman" w:hAnsi="Times New Roman" w:cs="Times New Roman"/>
              <w:sz w:val="28"/>
              <w:szCs w:val="28"/>
              <w:lang w:val="en"/>
            </w:rPr>
            <w:t>1</w:t>
          </w:r>
        </w:p>
        <w:p>
          <w:pPr>
            <w:pStyle w:val="14"/>
            <w:tabs>
              <w:tab w:val="right" w:leader="dot" w:pos="8504"/>
            </w:tabs>
            <w:spacing w:after="0" w:line="240" w:lineRule="auto"/>
            <w:rPr>
              <w:rFonts w:hint="default" w:ascii="Times New Roman" w:hAnsi="Times New Roman" w:cs="Times New Roman"/>
              <w:sz w:val="28"/>
              <w:szCs w:val="28"/>
              <w:lang w:val="en"/>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_Toc16148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（一）评价得分情况</w:t>
          </w:r>
          <w:r>
            <w:rPr>
              <w:rFonts w:ascii="Times New Roman" w:hAnsi="Times New Roman" w:cs="Times New Roman"/>
              <w:sz w:val="28"/>
              <w:szCs w:val="28"/>
            </w:rPr>
            <w:tab/>
          </w:r>
          <w:r>
            <w:rPr>
              <w:rFonts w:ascii="Times New Roman" w:hAnsi="Times New Roman" w:cs="Times New Roman"/>
              <w:sz w:val="28"/>
              <w:szCs w:val="28"/>
            </w:rPr>
            <w:t>1</w:t>
          </w:r>
          <w:r>
            <w:rPr>
              <w:rFonts w:ascii="Times New Roman" w:hAnsi="Times New Roman" w:cs="Times New Roman"/>
              <w:sz w:val="28"/>
              <w:szCs w:val="28"/>
            </w:rPr>
            <w:fldChar w:fldCharType="end"/>
          </w:r>
          <w:r>
            <w:rPr>
              <w:rFonts w:hint="default" w:ascii="Times New Roman" w:hAnsi="Times New Roman" w:cs="Times New Roman"/>
              <w:sz w:val="28"/>
              <w:szCs w:val="28"/>
              <w:lang w:val="en"/>
            </w:rPr>
            <w:t>1</w:t>
          </w:r>
        </w:p>
        <w:p>
          <w:pPr>
            <w:pStyle w:val="14"/>
            <w:tabs>
              <w:tab w:val="right" w:leader="dot" w:pos="8504"/>
            </w:tabs>
            <w:spacing w:after="0" w:line="240" w:lineRule="auto"/>
            <w:rPr>
              <w:rFonts w:hint="eastAsia" w:ascii="Times New Roman" w:hAnsi="Times New Roman" w:cs="Times New Roman" w:eastAsiaTheme="minorEastAsia"/>
              <w:sz w:val="28"/>
              <w:szCs w:val="28"/>
              <w:lang w:val="en" w:eastAsia="zh-CN"/>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_Toc26844 </w:instrText>
          </w:r>
          <w:r>
            <w:rPr>
              <w:rFonts w:ascii="Times New Roman" w:hAnsi="Times New Roman" w:cs="Times New Roman"/>
              <w:sz w:val="28"/>
              <w:szCs w:val="28"/>
            </w:rPr>
            <w:fldChar w:fldCharType="separate"/>
          </w:r>
          <w:r>
            <w:rPr>
              <w:rFonts w:hint="eastAsia" w:ascii="Times New Roman" w:hAnsi="Times New Roman" w:eastAsia="楷体_GB2312" w:cs="Times New Roman"/>
              <w:bCs/>
              <w:sz w:val="28"/>
              <w:szCs w:val="28"/>
            </w:rPr>
            <w:t>（二）存在的问题及原因分析</w:t>
          </w:r>
          <w:r>
            <w:rPr>
              <w:rFonts w:ascii="Times New Roman" w:hAnsi="Times New Roman" w:cs="Times New Roman"/>
              <w:sz w:val="28"/>
              <w:szCs w:val="28"/>
            </w:rPr>
            <w:tab/>
          </w:r>
          <w:r>
            <w:rPr>
              <w:rFonts w:ascii="Times New Roman" w:hAnsi="Times New Roman" w:cs="Times New Roman"/>
              <w:sz w:val="28"/>
              <w:szCs w:val="28"/>
            </w:rPr>
            <w:t>1</w:t>
          </w:r>
          <w:r>
            <w:rPr>
              <w:rFonts w:ascii="Times New Roman" w:hAnsi="Times New Roman" w:cs="Times New Roman"/>
              <w:sz w:val="28"/>
              <w:szCs w:val="28"/>
            </w:rPr>
            <w:fldChar w:fldCharType="end"/>
          </w:r>
          <w:r>
            <w:rPr>
              <w:rFonts w:hint="eastAsia" w:ascii="Times New Roman" w:hAnsi="Times New Roman" w:cs="Times New Roman"/>
              <w:sz w:val="28"/>
              <w:szCs w:val="28"/>
              <w:lang w:val="en-US" w:eastAsia="zh-CN"/>
            </w:rPr>
            <w:t>1</w:t>
          </w:r>
        </w:p>
        <w:p>
          <w:pPr>
            <w:pStyle w:val="12"/>
            <w:tabs>
              <w:tab w:val="right" w:leader="dot" w:pos="8504"/>
            </w:tabs>
            <w:spacing w:after="0" w:line="240" w:lineRule="auto"/>
            <w:rPr>
              <w:rFonts w:hint="default" w:ascii="Times New Roman" w:hAnsi="Times New Roman" w:cs="Times New Roman"/>
              <w:sz w:val="28"/>
              <w:szCs w:val="28"/>
              <w:lang w:val="en"/>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\l _Toc20952 </w:instrText>
          </w:r>
          <w:r>
            <w:rPr>
              <w:rFonts w:ascii="Times New Roman" w:hAnsi="Times New Roman" w:cs="Times New Roman"/>
              <w:sz w:val="28"/>
              <w:szCs w:val="28"/>
            </w:rPr>
            <w:fldChar w:fldCharType="separate"/>
          </w:r>
          <w:r>
            <w:rPr>
              <w:rFonts w:hint="eastAsia" w:ascii="Times New Roman" w:hAnsi="Times New Roman" w:eastAsia="黑体" w:cs="Times New Roman"/>
              <w:kern w:val="0"/>
              <w:sz w:val="28"/>
              <w:szCs w:val="28"/>
            </w:rPr>
            <w:t>六、措施建议</w:t>
          </w:r>
          <w:r>
            <w:rPr>
              <w:rFonts w:ascii="Times New Roman" w:hAnsi="Times New Roman" w:cs="Times New Roman"/>
              <w:sz w:val="28"/>
              <w:szCs w:val="28"/>
            </w:rPr>
            <w:tab/>
          </w:r>
          <w:r>
            <w:rPr>
              <w:rFonts w:ascii="Times New Roman" w:hAnsi="Times New Roman" w:cs="Times New Roman"/>
              <w:sz w:val="28"/>
              <w:szCs w:val="28"/>
            </w:rPr>
            <w:t>1</w:t>
          </w:r>
          <w:r>
            <w:rPr>
              <w:rFonts w:ascii="Times New Roman" w:hAnsi="Times New Roman" w:cs="Times New Roman"/>
              <w:sz w:val="28"/>
              <w:szCs w:val="28"/>
            </w:rPr>
            <w:fldChar w:fldCharType="end"/>
          </w:r>
          <w:r>
            <w:rPr>
              <w:rFonts w:hint="default" w:ascii="Times New Roman" w:hAnsi="Times New Roman" w:cs="Times New Roman"/>
              <w:sz w:val="28"/>
              <w:szCs w:val="28"/>
              <w:lang w:val="en"/>
            </w:rPr>
            <w:t>2</w:t>
          </w:r>
        </w:p>
        <w:p>
          <w:pPr>
            <w:pStyle w:val="13"/>
            <w:spacing w:after="0" w:line="240" w:lineRule="auto"/>
            <w:ind w:left="3360"/>
            <w:textAlignment w:val="baseline"/>
            <w:rPr>
              <w:rFonts w:ascii="Times New Roman" w:hAnsi="Times New Roman" w:cs="Times New Roman"/>
              <w:sz w:val="28"/>
              <w:szCs w:val="28"/>
            </w:rPr>
          </w:pPr>
          <w:r>
            <w:rPr>
              <w:rFonts w:ascii="Times New Roman" w:hAnsi="Times New Roman" w:cs="Times New Roman"/>
              <w:sz w:val="28"/>
              <w:szCs w:val="28"/>
            </w:rPr>
            <w:fldChar w:fldCharType="end"/>
          </w:r>
        </w:p>
      </w:sdtContent>
    </w:sdt>
    <w:p>
      <w:pPr>
        <w:spacing w:line="560" w:lineRule="exact"/>
        <w:jc w:val="center"/>
        <w:textAlignment w:val="baseline"/>
        <w:rPr>
          <w:rFonts w:ascii="Times New Roman" w:hAnsi="Times New Roman" w:eastAsia="方正小标宋简体" w:cs="Times New Roman"/>
          <w:sz w:val="28"/>
          <w:szCs w:val="28"/>
        </w:rPr>
        <w:sectPr>
          <w:pgSz w:w="11906" w:h="16838"/>
          <w:pgMar w:top="1701" w:right="1701" w:bottom="1701" w:left="1701" w:header="851" w:footer="992" w:gutter="0"/>
          <w:pgNumType w:start="1"/>
          <w:cols w:space="425" w:num="1"/>
          <w:docGrid w:type="lines" w:linePitch="312" w:charSpace="0"/>
        </w:sectPr>
      </w:pPr>
    </w:p>
    <w:p>
      <w:pPr>
        <w:spacing w:after="0" w:line="560" w:lineRule="exact"/>
        <w:jc w:val="center"/>
        <w:textAlignment w:val="baseline"/>
        <w:rPr>
          <w:rFonts w:hint="eastAsia" w:ascii="Times New Roman" w:hAnsi="Times New Roman" w:eastAsia="方正小标宋简体" w:cs="Times New Roman"/>
          <w:sz w:val="44"/>
          <w:szCs w:val="44"/>
        </w:rPr>
      </w:pPr>
      <w:bookmarkStart w:id="1" w:name="_Toc12030"/>
      <w:r>
        <w:rPr>
          <w:rFonts w:ascii="Times New Roman" w:hAnsi="Times New Roman" w:eastAsia="方正小标宋简体" w:cs="Times New Roman"/>
          <w:sz w:val="44"/>
          <w:szCs w:val="44"/>
        </w:rPr>
        <w:t>2024年</w:t>
      </w:r>
      <w:r>
        <w:rPr>
          <w:rFonts w:hint="eastAsia" w:ascii="Times New Roman" w:hAnsi="Times New Roman" w:eastAsia="方正小标宋简体" w:cs="Times New Roman"/>
          <w:sz w:val="44"/>
          <w:szCs w:val="44"/>
        </w:rPr>
        <w:t>部门整体绩效评价报告</w:t>
      </w:r>
      <w:bookmarkEnd w:id="1"/>
    </w:p>
    <w:p>
      <w:pPr>
        <w:adjustRightInd/>
        <w:snapToGrid/>
        <w:spacing w:after="0" w:line="560" w:lineRule="exact"/>
        <w:ind w:firstLine="0" w:firstLineChars="0"/>
        <w:jc w:val="center"/>
        <w:textAlignment w:val="baseline"/>
        <w:rPr>
          <w:rFonts w:ascii="Times New Roman" w:hAnsi="Times New Roman" w:eastAsia="仿宋_GB2312" w:cs="Times New Roman"/>
          <w:sz w:val="32"/>
          <w:szCs w:val="32"/>
        </w:rPr>
      </w:pP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为进一步推进预算绩效管理，规范财政支出管理，压实部门支出责任，提高财政资金使用效益，根据《中共中央</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国务院关于全面实施预算绩效管理的意见》（中发〔</w:t>
      </w:r>
      <w:r>
        <w:rPr>
          <w:rFonts w:ascii="Times New Roman" w:hAnsi="Times New Roman" w:eastAsia="仿宋_GB2312" w:cs="Times New Roman"/>
          <w:sz w:val="32"/>
          <w:szCs w:val="32"/>
        </w:rPr>
        <w:t xml:space="preserve">2018〕34号）、《中共北京市委 </w:t>
      </w:r>
      <w:r>
        <w:rPr>
          <w:rFonts w:hint="eastAsia" w:ascii="Times New Roman" w:hAnsi="Times New Roman" w:eastAsia="仿宋_GB2312" w:cs="Times New Roman"/>
          <w:sz w:val="32"/>
          <w:szCs w:val="32"/>
        </w:rPr>
        <w:t>北京市人民政府关于全面实施预算绩效管理的实施意见》（京发〔</w:t>
      </w:r>
      <w:r>
        <w:rPr>
          <w:rFonts w:ascii="Times New Roman" w:hAnsi="Times New Roman" w:eastAsia="仿宋_GB2312" w:cs="Times New Roman"/>
          <w:sz w:val="32"/>
          <w:szCs w:val="32"/>
        </w:rPr>
        <w:t>2019〕12号）、《北京市项目支出绩效评价管理办法》（京财绩效〔2020〕2146号）</w:t>
      </w:r>
      <w:r>
        <w:rPr>
          <w:rFonts w:hint="eastAsia" w:ascii="Times New Roman" w:hAnsi="Times New Roman" w:eastAsia="仿宋_GB2312" w:cs="Times New Roman"/>
          <w:sz w:val="32"/>
          <w:szCs w:val="32"/>
        </w:rPr>
        <w:t>、《北京市人民政府外事办公室预算绩效管理办法》等文件精神，北京市人民政府外事办公室</w:t>
      </w:r>
      <w:r>
        <w:rPr>
          <w:rFonts w:ascii="Times New Roman" w:hAnsi="Times New Roman" w:eastAsia="仿宋_GB2312" w:cs="Times New Roman"/>
          <w:sz w:val="32"/>
          <w:szCs w:val="32"/>
        </w:rPr>
        <w:t>按照《北京市财政局关于2025年预算绩效管理工作的通知》</w:t>
      </w:r>
      <w:r>
        <w:rPr>
          <w:rFonts w:hint="eastAsia" w:ascii="Times New Roman" w:hAnsi="Times New Roman" w:eastAsia="仿宋_GB2312" w:cs="Times New Roman"/>
          <w:sz w:val="32"/>
          <w:szCs w:val="32"/>
        </w:rPr>
        <w:t>（京财绩效〔</w:t>
      </w:r>
      <w:r>
        <w:rPr>
          <w:rFonts w:ascii="Times New Roman" w:hAnsi="Times New Roman" w:eastAsia="仿宋_GB2312" w:cs="Times New Roman"/>
          <w:sz w:val="32"/>
          <w:szCs w:val="32"/>
        </w:rPr>
        <w:t>2025〕245号）部署要求，</w:t>
      </w:r>
      <w:r>
        <w:rPr>
          <w:rFonts w:hint="eastAsia" w:ascii="Times New Roman" w:hAnsi="Times New Roman" w:eastAsia="仿宋_GB2312" w:cs="Times New Roman"/>
          <w:sz w:val="32"/>
          <w:szCs w:val="32"/>
        </w:rPr>
        <w:t>对</w:t>
      </w:r>
      <w:r>
        <w:rPr>
          <w:rFonts w:ascii="Times New Roman" w:hAnsi="Times New Roman" w:eastAsia="仿宋_GB2312" w:cs="Times New Roman"/>
          <w:sz w:val="32"/>
          <w:szCs w:val="32"/>
        </w:rPr>
        <w:t>2024年部门整体</w:t>
      </w:r>
      <w:r>
        <w:rPr>
          <w:rFonts w:hint="eastAsia" w:ascii="Times New Roman" w:hAnsi="Times New Roman" w:eastAsia="仿宋_GB2312" w:cs="Times New Roman"/>
          <w:sz w:val="32"/>
          <w:szCs w:val="32"/>
        </w:rPr>
        <w:t>绩效完成情况进行评价，并形成报告。</w:t>
      </w:r>
    </w:p>
    <w:p>
      <w:pPr>
        <w:pStyle w:val="22"/>
        <w:adjustRightInd w:val="0"/>
        <w:snapToGrid w:val="0"/>
        <w:spacing w:after="0" w:line="560" w:lineRule="exact"/>
        <w:ind w:firstLine="640"/>
        <w:textAlignment w:val="baseline"/>
        <w:outlineLvl w:val="0"/>
        <w:rPr>
          <w:rFonts w:ascii="Times New Roman" w:hAnsi="Times New Roman" w:eastAsia="黑体" w:cs="Times New Roman"/>
          <w:sz w:val="32"/>
          <w:szCs w:val="32"/>
        </w:rPr>
      </w:pPr>
      <w:bookmarkStart w:id="2" w:name="_Toc8766"/>
      <w:bookmarkStart w:id="3" w:name="_Toc23316"/>
      <w:bookmarkStart w:id="4" w:name="_Toc17831"/>
      <w:bookmarkStart w:id="5" w:name="_Toc15145"/>
      <w:r>
        <w:rPr>
          <w:rFonts w:hint="eastAsia" w:ascii="Times New Roman" w:hAnsi="Times New Roman" w:eastAsia="黑体" w:cs="Times New Roman"/>
          <w:sz w:val="32"/>
          <w:szCs w:val="32"/>
        </w:rPr>
        <w:t>一、部门概况</w:t>
      </w:r>
      <w:bookmarkEnd w:id="2"/>
      <w:bookmarkEnd w:id="3"/>
      <w:bookmarkEnd w:id="4"/>
      <w:bookmarkEnd w:id="5"/>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bookmarkStart w:id="6" w:name="_Toc31134"/>
      <w:bookmarkStart w:id="7" w:name="_Toc23826"/>
      <w:bookmarkStart w:id="8" w:name="_Toc24814"/>
      <w:bookmarkStart w:id="9" w:name="_Toc7959"/>
      <w:r>
        <w:rPr>
          <w:rFonts w:hint="eastAsia" w:ascii="Times New Roman" w:hAnsi="Times New Roman" w:eastAsia="楷体_GB2312" w:cs="Times New Roman"/>
          <w:b w:val="0"/>
          <w:bCs w:val="0"/>
          <w:sz w:val="32"/>
          <w:szCs w:val="32"/>
        </w:rPr>
        <w:t>（一）机构设置及职责工作任务情况</w:t>
      </w:r>
      <w:bookmarkEnd w:id="6"/>
      <w:bookmarkEnd w:id="7"/>
      <w:bookmarkEnd w:id="8"/>
      <w:bookmarkEnd w:id="9"/>
    </w:p>
    <w:p>
      <w:pPr>
        <w:adjustRightInd w:val="0"/>
        <w:snapToGrid w:val="0"/>
        <w:spacing w:after="0" w:line="56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rPr>
        <w:t>部门机构设置</w:t>
      </w:r>
    </w:p>
    <w:p>
      <w:pPr>
        <w:adjustRightInd/>
        <w:snapToGrid/>
        <w:spacing w:after="0" w:line="560" w:lineRule="exact"/>
        <w:ind w:firstLine="640" w:firstLineChars="200"/>
        <w:rPr>
          <w:rFonts w:hint="eastAsia" w:ascii="Times New Roman" w:hAnsi="Times New Roman" w:eastAsia="仿宋_GB2312" w:cs="Times New Roman"/>
          <w:sz w:val="32"/>
          <w:szCs w:val="32"/>
        </w:rPr>
      </w:pPr>
      <w:r>
        <w:rPr>
          <w:rFonts w:hint="eastAsia" w:ascii="仿宋_GB2312" w:eastAsia="仿宋_GB2312" w:cs="Droid Sans"/>
          <w:color w:val="000000"/>
          <w:sz w:val="32"/>
          <w:szCs w:val="32"/>
          <w:u w:val="none"/>
        </w:rPr>
        <w:t>中共北京市委外事工作委员会办公室作为中共北京市委外事工作委员会常设办事机构，与北京市人民政府外事办公室（</w:t>
      </w:r>
      <w:r>
        <w:rPr>
          <w:rFonts w:hint="eastAsia" w:ascii="仿宋_GB2312" w:eastAsia="仿宋_GB2312" w:cs="Droid Sans"/>
          <w:color w:val="000000"/>
          <w:sz w:val="32"/>
          <w:szCs w:val="32"/>
          <w:u w:val="none"/>
          <w:lang w:eastAsia="zh-CN"/>
        </w:rPr>
        <w:t>以下</w:t>
      </w:r>
      <w:r>
        <w:rPr>
          <w:rFonts w:hint="eastAsia" w:ascii="仿宋_GB2312" w:eastAsia="仿宋_GB2312" w:cs="Droid Sans"/>
          <w:color w:val="000000"/>
          <w:sz w:val="32"/>
          <w:szCs w:val="32"/>
          <w:u w:val="none"/>
        </w:rPr>
        <w:t>简称市政府外办）合署办公。市政府外办是市政府组成部门，为正局级，加挂北京市人民政府港澳事务办公室牌子。</w:t>
      </w:r>
    </w:p>
    <w:p>
      <w:pPr>
        <w:adjustRightInd/>
        <w:snapToGrid/>
        <w:spacing w:after="0" w:line="560" w:lineRule="exact"/>
        <w:rPr>
          <w:rFonts w:hint="eastAsia" w:ascii="仿宋_GB2312" w:eastAsia="仿宋_GB2312" w:cs="Droid Sans"/>
          <w:color w:val="000000"/>
          <w:sz w:val="32"/>
          <w:szCs w:val="32"/>
          <w:u w:val="none"/>
        </w:rPr>
      </w:pPr>
      <w:r>
        <w:rPr>
          <w:rFonts w:hint="eastAsia" w:ascii="仿宋_GB2312" w:eastAsia="仿宋_GB2312" w:cs="Droid Sans"/>
          <w:color w:val="000000"/>
          <w:sz w:val="32"/>
          <w:szCs w:val="32"/>
          <w:u w:val="none"/>
          <w:lang w:eastAsia="zh-CN"/>
        </w:rPr>
        <w:t>下</w:t>
      </w:r>
      <w:r>
        <w:rPr>
          <w:rFonts w:hint="eastAsia" w:ascii="仿宋_GB2312" w:eastAsia="仿宋_GB2312" w:cs="Droid Sans"/>
          <w:color w:val="000000"/>
          <w:sz w:val="32"/>
          <w:szCs w:val="32"/>
          <w:u w:val="none"/>
        </w:rPr>
        <w:t>属</w:t>
      </w:r>
      <w:r>
        <w:rPr>
          <w:rFonts w:hint="default" w:ascii="仿宋_GB2312" w:eastAsia="仿宋_GB2312" w:cs="Droid Sans"/>
          <w:color w:val="000000"/>
          <w:sz w:val="32"/>
          <w:szCs w:val="32"/>
          <w:u w:val="none"/>
          <w:lang w:val="en-US"/>
        </w:rPr>
        <w:t>4</w:t>
      </w:r>
      <w:r>
        <w:rPr>
          <w:rFonts w:hint="eastAsia" w:ascii="仿宋_GB2312" w:eastAsia="仿宋_GB2312" w:cs="Droid Sans"/>
          <w:color w:val="000000"/>
          <w:sz w:val="32"/>
          <w:szCs w:val="32"/>
          <w:u w:val="none"/>
        </w:rPr>
        <w:t>个</w:t>
      </w:r>
      <w:r>
        <w:rPr>
          <w:rFonts w:hint="eastAsia" w:ascii="仿宋_GB2312" w:eastAsia="仿宋_GB2312" w:cs="Droid Sans"/>
          <w:color w:val="000000"/>
          <w:sz w:val="32"/>
          <w:szCs w:val="32"/>
          <w:u w:val="none"/>
          <w:lang w:eastAsia="zh-CN"/>
        </w:rPr>
        <w:t>二级预算</w:t>
      </w:r>
      <w:r>
        <w:rPr>
          <w:rFonts w:hint="eastAsia" w:ascii="仿宋_GB2312" w:eastAsia="仿宋_GB2312" w:cs="Droid Sans"/>
          <w:color w:val="000000"/>
          <w:sz w:val="32"/>
          <w:szCs w:val="32"/>
          <w:u w:val="none"/>
        </w:rPr>
        <w:t>单位，分别为北京市人民政府外事办公室</w:t>
      </w:r>
      <w:r>
        <w:rPr>
          <w:rFonts w:hint="eastAsia" w:ascii="仿宋_GB2312" w:eastAsia="仿宋_GB2312" w:cs="Droid Sans"/>
          <w:color w:val="000000"/>
          <w:sz w:val="32"/>
          <w:szCs w:val="32"/>
          <w:u w:val="none"/>
          <w:lang w:eastAsia="zh-CN"/>
        </w:rPr>
        <w:t>（本级）、</w:t>
      </w:r>
      <w:r>
        <w:rPr>
          <w:rFonts w:hint="eastAsia" w:ascii="仿宋_GB2312" w:eastAsia="仿宋_GB2312" w:cs="Droid Sans"/>
          <w:color w:val="000000"/>
          <w:sz w:val="32"/>
          <w:szCs w:val="32"/>
          <w:u w:val="none"/>
        </w:rPr>
        <w:t>北京市人民政府外事办公室翻译中心</w:t>
      </w:r>
      <w:r>
        <w:rPr>
          <w:rFonts w:hint="eastAsia" w:ascii="仿宋_GB2312" w:eastAsia="仿宋_GB2312" w:cs="Droid Sans"/>
          <w:color w:val="000000"/>
          <w:sz w:val="32"/>
          <w:szCs w:val="32"/>
          <w:u w:val="none"/>
          <w:lang w:eastAsia="zh-CN"/>
        </w:rPr>
        <w:t>、</w:t>
      </w:r>
      <w:r>
        <w:rPr>
          <w:rFonts w:hint="eastAsia" w:ascii="仿宋_GB2312" w:eastAsia="仿宋_GB2312" w:cs="Droid Sans"/>
          <w:color w:val="000000"/>
          <w:sz w:val="32"/>
          <w:szCs w:val="32"/>
          <w:u w:val="none"/>
        </w:rPr>
        <w:t>北京市人民政府外事办公室出入境人员服务中心</w:t>
      </w:r>
      <w:r>
        <w:rPr>
          <w:rFonts w:hint="eastAsia" w:ascii="仿宋_GB2312" w:eastAsia="仿宋_GB2312" w:cs="Droid Sans"/>
          <w:color w:val="000000"/>
          <w:sz w:val="32"/>
          <w:szCs w:val="32"/>
          <w:u w:val="none"/>
          <w:lang w:eastAsia="zh-CN"/>
        </w:rPr>
        <w:t>、</w:t>
      </w:r>
      <w:r>
        <w:rPr>
          <w:rFonts w:hint="eastAsia" w:ascii="仿宋_GB2312" w:eastAsia="仿宋_GB2312" w:cs="Droid Sans"/>
          <w:color w:val="000000"/>
          <w:sz w:val="32"/>
          <w:szCs w:val="32"/>
          <w:u w:val="none"/>
        </w:rPr>
        <w:t>北京市人民政府外事办公室国际交流中心。</w:t>
      </w:r>
    </w:p>
    <w:p>
      <w:pPr>
        <w:adjustRightInd w:val="0"/>
        <w:snapToGrid w:val="0"/>
        <w:spacing w:after="0" w:line="56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部门职责</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1）起草本市外事工作地方性法规草案、政府规章草案，研究拟订外事工作规划和制度，并组织实施。组织开展外事工作重大问题的调查研究。</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2）负责本市与香港、澳门特别行政区政府的有关工作联系，推动本市与香港、澳门在经济、科技、文化等领域的交流与合作。</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3）负责本市与外国地方政府间的交流，办理与外国城市或地区缔结友好城市关系事项，管理与国际友好城市的交往活动。指导本市民间对外交往工作。</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4）负责在京全国性行业协会、商会外事属地化管理工作。根据授权管理、指导本市各单位因公出入境工作。负责核发外国人来华签证邀请函。承办各单位报请市委、市政府审批的外事文件。</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5）承办授予外国人本市荣誉称号。负责牵头应对和处理本市重大涉外突发事件。配合外交部及驻外使领馆做好境外领事保护工作，协调处理与外国驻京外交机构的有关事宜。</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6）负责统筹协调在京举办的重大国事活动服务保障工作。负责组织协调以市政府及以市政府外办名义举办的大型国际多边活动（会议）。承担本市参与国际组织和国际多边活动的相关工作。审核各区、市有关部门和相关单位申办和举办的国际会议。</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7）受外交部委托，办理本市外国常驻新闻机构和外国记者事务。负责港澳记者在本市采访的有关事宜。</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8）组织协调推进本市国际语言环境建设工作。</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9）负责对本市外事干部和涉外人员进行对外政策和外事纪律的教育。会同有关部门检查外事纪律的执行情况，并对违反外事纪律问题提出处理意见和建议。</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10）完成市委、市政府交办的其他任务。</w:t>
      </w:r>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bookmarkStart w:id="10" w:name="_Toc9052"/>
      <w:bookmarkStart w:id="11" w:name="_Toc401"/>
      <w:bookmarkStart w:id="12" w:name="_Toc17184"/>
      <w:bookmarkStart w:id="13" w:name="_Toc14178"/>
      <w:r>
        <w:rPr>
          <w:rFonts w:hint="eastAsia" w:ascii="Times New Roman" w:hAnsi="Times New Roman" w:eastAsia="楷体_GB2312" w:cs="Times New Roman"/>
          <w:b w:val="0"/>
          <w:bCs w:val="0"/>
          <w:sz w:val="32"/>
          <w:szCs w:val="32"/>
        </w:rPr>
        <w:t>（二）部门整体绩效目标设立情况</w:t>
      </w:r>
      <w:bookmarkEnd w:id="10"/>
      <w:bookmarkEnd w:id="11"/>
      <w:bookmarkEnd w:id="12"/>
      <w:bookmarkEnd w:id="13"/>
    </w:p>
    <w:p>
      <w:pPr>
        <w:adjustRightInd w:val="0"/>
        <w:snapToGrid w:val="0"/>
        <w:spacing w:after="0" w:line="56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kern w:val="0"/>
          <w:sz w:val="32"/>
          <w:szCs w:val="32"/>
        </w:rPr>
        <w:t>1.部门绩效目标</w:t>
      </w:r>
    </w:p>
    <w:p>
      <w:pPr>
        <w:keepNext w:val="0"/>
        <w:keepLines w:val="0"/>
        <w:widowControl w:val="0"/>
        <w:suppressLineNumbers w:val="0"/>
        <w:spacing w:after="0" w:line="56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2024年，</w:t>
      </w:r>
      <w:r>
        <w:rPr>
          <w:rFonts w:hint="eastAsia" w:ascii="Times New Roman" w:hAnsi="Times New Roman" w:eastAsia="仿宋_GB2312" w:cs="Times New Roman"/>
          <w:sz w:val="32"/>
          <w:szCs w:val="32"/>
        </w:rPr>
        <w:t>市政府外办</w:t>
      </w:r>
      <w:r>
        <w:rPr>
          <w:rFonts w:ascii="Times New Roman" w:hAnsi="Times New Roman" w:eastAsia="仿宋_GB2312" w:cs="Times New Roman"/>
          <w:i w:val="0"/>
          <w:caps w:val="0"/>
          <w:color w:val="auto"/>
          <w:spacing w:val="0"/>
          <w:kern w:val="2"/>
          <w:sz w:val="32"/>
          <w:szCs w:val="32"/>
          <w:shd w:val="clear" w:fill="auto"/>
          <w:lang w:val="en-US" w:eastAsia="zh-CN" w:bidi="ar"/>
        </w:rPr>
        <w:t>坚决贯彻党中央对外工作决策部署，落实市委市政府工作要求，全力服务新时代中国特色大国外交和首都高质量发展，北京外事工作和国际交往中心功能建设取得新进展新成效。</w:t>
      </w:r>
    </w:p>
    <w:p>
      <w:pPr>
        <w:adjustRightInd w:val="0"/>
        <w:snapToGrid w:val="0"/>
        <w:spacing w:after="0"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具体绩效指标设定如下：</w:t>
      </w:r>
    </w:p>
    <w:p>
      <w:pPr>
        <w:adjustRightInd w:val="0"/>
        <w:snapToGrid w:val="0"/>
        <w:spacing w:after="0"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绩效指标一：优化友城交往布局，结合友城结好“逢五逢十”周年，策划举办“北京周”“北京日”和外国友城“城市日”等活动，巩固扩大北京国际“朋友圈”。</w:t>
      </w:r>
    </w:p>
    <w:p>
      <w:pPr>
        <w:adjustRightInd w:val="0"/>
        <w:snapToGrid w:val="0"/>
        <w:spacing w:after="0"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绩效指标</w:t>
      </w:r>
      <w:r>
        <w:rPr>
          <w:rFonts w:hint="eastAsia" w:ascii="Times New Roman" w:hAnsi="Times New Roman" w:eastAsia="仿宋_GB2312" w:cs="Times New Roman"/>
          <w:kern w:val="0"/>
          <w:sz w:val="32"/>
          <w:szCs w:val="32"/>
          <w:lang w:eastAsia="zh-CN"/>
        </w:rPr>
        <w:t>二</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提</w:t>
      </w:r>
      <w:r>
        <w:rPr>
          <w:rFonts w:hint="eastAsia" w:ascii="Times New Roman" w:hAnsi="Times New Roman" w:eastAsia="仿宋_GB2312" w:cs="Times New Roman"/>
          <w:kern w:val="0"/>
          <w:sz w:val="32"/>
          <w:szCs w:val="32"/>
        </w:rPr>
        <w:t>升服务国家国际交往的能力，深入落实新时代元首外交北京服务保障能力提升实施方案，全力服务保障重大国事活动，高标准接待来访党宾国宾团组。</w:t>
      </w:r>
    </w:p>
    <w:p>
      <w:pPr>
        <w:adjustRightInd w:val="0"/>
        <w:snapToGrid w:val="0"/>
        <w:spacing w:after="0" w:line="560" w:lineRule="exact"/>
        <w:ind w:firstLine="640" w:firstLineChars="200"/>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rPr>
        <w:t>绩效指标</w:t>
      </w:r>
      <w:r>
        <w:rPr>
          <w:rFonts w:hint="eastAsia" w:ascii="Times New Roman" w:hAnsi="Times New Roman" w:eastAsia="仿宋_GB2312" w:cs="Times New Roman"/>
          <w:kern w:val="0"/>
          <w:sz w:val="32"/>
          <w:szCs w:val="32"/>
          <w:lang w:eastAsia="zh-CN"/>
        </w:rPr>
        <w:t>三</w:t>
      </w:r>
      <w:r>
        <w:rPr>
          <w:rFonts w:hint="eastAsia" w:ascii="Times New Roman" w:hAnsi="Times New Roman" w:eastAsia="仿宋_GB2312" w:cs="Times New Roman"/>
          <w:kern w:val="0"/>
          <w:sz w:val="32"/>
          <w:szCs w:val="32"/>
        </w:rPr>
        <w:t>：提升港澳工作水平，深入贯彻中央港澳工作精神，高水平举办2024京澳合作伙伴行动，组织参加第29届澳门国际贸易投资展览会，促成更多务实合作项目。</w:t>
      </w:r>
    </w:p>
    <w:p>
      <w:pPr>
        <w:tabs>
          <w:tab w:val="left" w:pos="2407"/>
        </w:tabs>
        <w:adjustRightInd w:val="0"/>
        <w:snapToGrid w:val="0"/>
        <w:spacing w:after="0"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绩效指标</w:t>
      </w:r>
      <w:r>
        <w:rPr>
          <w:rFonts w:hint="eastAsia" w:ascii="Times New Roman" w:hAnsi="Times New Roman" w:eastAsia="仿宋_GB2312" w:cs="Times New Roman"/>
          <w:kern w:val="0"/>
          <w:sz w:val="32"/>
          <w:szCs w:val="32"/>
          <w:lang w:eastAsia="zh-CN"/>
        </w:rPr>
        <w:t>四</w:t>
      </w:r>
      <w:r>
        <w:rPr>
          <w:rFonts w:hint="eastAsia" w:ascii="Times New Roman" w:hAnsi="Times New Roman" w:eastAsia="仿宋_GB2312" w:cs="Times New Roman"/>
          <w:kern w:val="0"/>
          <w:sz w:val="32"/>
          <w:szCs w:val="32"/>
        </w:rPr>
        <w:t>：加强组织保障，优化外事人才培养储备机制，组织开展全市外事干部培训。</w:t>
      </w:r>
    </w:p>
    <w:p>
      <w:pPr>
        <w:tabs>
          <w:tab w:val="left" w:pos="2407"/>
        </w:tabs>
        <w:adjustRightInd w:val="0"/>
        <w:snapToGrid w:val="0"/>
        <w:spacing w:after="0"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绩效指标</w:t>
      </w:r>
      <w:r>
        <w:rPr>
          <w:rFonts w:hint="eastAsia" w:ascii="Times New Roman" w:hAnsi="Times New Roman" w:eastAsia="仿宋_GB2312" w:cs="Times New Roman"/>
          <w:kern w:val="0"/>
          <w:sz w:val="32"/>
          <w:szCs w:val="32"/>
          <w:lang w:eastAsia="zh-CN"/>
        </w:rPr>
        <w:t>五</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推动</w:t>
      </w:r>
      <w:r>
        <w:rPr>
          <w:rFonts w:hint="eastAsia" w:ascii="Times New Roman" w:hAnsi="Times New Roman" w:eastAsia="仿宋_GB2312" w:cs="Times New Roman"/>
          <w:kern w:val="0"/>
          <w:sz w:val="32"/>
          <w:szCs w:val="32"/>
        </w:rPr>
        <w:t>涉外法治建设，加强国际交往语言环境建设，优化</w:t>
      </w:r>
      <w:r>
        <w:rPr>
          <w:rFonts w:hint="eastAsia" w:ascii="Times New Roman" w:hAnsi="Times New Roman" w:eastAsia="仿宋_GB2312" w:cs="Times New Roman"/>
          <w:kern w:val="0"/>
          <w:sz w:val="32"/>
          <w:szCs w:val="32"/>
          <w:lang w:eastAsia="zh-CN"/>
        </w:rPr>
        <w:t>提高</w:t>
      </w:r>
      <w:r>
        <w:rPr>
          <w:rFonts w:hint="eastAsia" w:ascii="Times New Roman" w:hAnsi="Times New Roman" w:eastAsia="仿宋_GB2312" w:cs="Times New Roman"/>
          <w:kern w:val="0"/>
          <w:sz w:val="32"/>
          <w:szCs w:val="32"/>
        </w:rPr>
        <w:t>外语便利化服务</w:t>
      </w:r>
      <w:r>
        <w:rPr>
          <w:rFonts w:hint="eastAsia" w:ascii="Times New Roman" w:hAnsi="Times New Roman" w:eastAsia="仿宋_GB2312" w:cs="Times New Roman"/>
          <w:kern w:val="0"/>
          <w:sz w:val="32"/>
          <w:szCs w:val="32"/>
          <w:lang w:eastAsia="zh-CN"/>
        </w:rPr>
        <w:t>水平</w:t>
      </w:r>
      <w:r>
        <w:rPr>
          <w:rFonts w:hint="eastAsia" w:ascii="Times New Roman" w:hAnsi="Times New Roman" w:eastAsia="仿宋_GB2312" w:cs="Times New Roman"/>
          <w:kern w:val="0"/>
          <w:sz w:val="32"/>
          <w:szCs w:val="32"/>
        </w:rPr>
        <w:t>。</w:t>
      </w:r>
    </w:p>
    <w:p>
      <w:pPr>
        <w:tabs>
          <w:tab w:val="left" w:pos="2407"/>
        </w:tabs>
        <w:adjustRightInd w:val="0"/>
        <w:snapToGrid w:val="0"/>
        <w:spacing w:after="0"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绩效指标</w:t>
      </w:r>
      <w:r>
        <w:rPr>
          <w:rFonts w:hint="eastAsia" w:ascii="Times New Roman" w:hAnsi="Times New Roman" w:eastAsia="仿宋_GB2312" w:cs="Times New Roman"/>
          <w:kern w:val="0"/>
          <w:sz w:val="32"/>
          <w:szCs w:val="32"/>
          <w:lang w:eastAsia="zh-CN"/>
        </w:rPr>
        <w:t>六</w:t>
      </w:r>
      <w:r>
        <w:rPr>
          <w:rFonts w:hint="eastAsia" w:ascii="Times New Roman" w:hAnsi="Times New Roman" w:eastAsia="仿宋_GB2312" w:cs="Times New Roman"/>
          <w:kern w:val="0"/>
          <w:sz w:val="32"/>
          <w:szCs w:val="32"/>
        </w:rPr>
        <w:t>：讲好大国故事，举办第四届“北京</w:t>
      </w:r>
      <w:r>
        <w:rPr>
          <w:rFonts w:hint="eastAsia" w:ascii="Times New Roman" w:hAnsi="Times New Roman" w:eastAsia="仿宋_GB2312" w:cs="Times New Roman"/>
          <w:kern w:val="0"/>
          <w:sz w:val="32"/>
          <w:szCs w:val="32"/>
          <w:lang w:val="en-US" w:eastAsia="zh-CN"/>
        </w:rPr>
        <w:t>·</w:t>
      </w:r>
      <w:r>
        <w:rPr>
          <w:rFonts w:hint="eastAsia" w:ascii="Times New Roman" w:hAnsi="Times New Roman" w:eastAsia="仿宋_GB2312" w:cs="Times New Roman"/>
          <w:kern w:val="0"/>
          <w:sz w:val="32"/>
          <w:szCs w:val="32"/>
        </w:rPr>
        <w:t>国际范儿”短视频大赛，打造“外国记者走进北京”品牌活动。</w:t>
      </w:r>
    </w:p>
    <w:p>
      <w:pPr>
        <w:tabs>
          <w:tab w:val="left" w:pos="2407"/>
        </w:tabs>
        <w:adjustRightInd w:val="0"/>
        <w:snapToGrid w:val="0"/>
        <w:spacing w:after="0" w:line="560" w:lineRule="exact"/>
        <w:ind w:firstLine="640" w:firstLineChars="200"/>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rPr>
        <w:t>绩效指标</w:t>
      </w:r>
      <w:r>
        <w:rPr>
          <w:rFonts w:hint="eastAsia" w:ascii="Times New Roman" w:hAnsi="Times New Roman" w:eastAsia="仿宋_GB2312" w:cs="Times New Roman"/>
          <w:kern w:val="0"/>
          <w:sz w:val="32"/>
          <w:szCs w:val="32"/>
          <w:lang w:eastAsia="zh-CN"/>
        </w:rPr>
        <w:t>七：扎实做好领事保护工作，健全海外利益保护和预警防范体系，高质量举办“领保进万家”“领保大讲堂”等品牌活动。</w:t>
      </w:r>
    </w:p>
    <w:p>
      <w:pPr>
        <w:tabs>
          <w:tab w:val="left" w:pos="2407"/>
        </w:tabs>
        <w:adjustRightInd w:val="0"/>
        <w:snapToGrid w:val="0"/>
        <w:spacing w:after="0"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绩效指标</w:t>
      </w:r>
      <w:r>
        <w:rPr>
          <w:rFonts w:hint="eastAsia" w:ascii="Times New Roman" w:hAnsi="Times New Roman" w:eastAsia="仿宋_GB2312" w:cs="Times New Roman"/>
          <w:kern w:val="0"/>
          <w:sz w:val="32"/>
          <w:szCs w:val="32"/>
          <w:lang w:eastAsia="zh-CN"/>
        </w:rPr>
        <w:t>八：积极引聚国际高端资源要素，大力吸引重点国际组织在京落户。</w:t>
      </w: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市政府外办绩效目标设立依据充分，符合国家法律法规、国民经济和社会发展规划，符合市政府外办工作实际，与单位职能相适应</w:t>
      </w:r>
      <w:r>
        <w:rPr>
          <w:rFonts w:hint="eastAsia" w:ascii="Times New Roman" w:hAnsi="Times New Roman" w:eastAsia="仿宋_GB2312" w:cs="Times New Roman"/>
          <w:sz w:val="32"/>
          <w:szCs w:val="32"/>
          <w:lang w:eastAsia="zh-CN"/>
        </w:rPr>
        <w:t>。</w:t>
      </w:r>
    </w:p>
    <w:p>
      <w:pPr>
        <w:numPr>
          <w:ilvl w:val="-1"/>
          <w:numId w:val="0"/>
        </w:numPr>
        <w:adjustRightInd w:val="0"/>
        <w:snapToGrid w:val="0"/>
        <w:spacing w:after="0" w:line="560" w:lineRule="exact"/>
        <w:ind w:firstLine="642"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val="en-US" w:eastAsia="zh-CN"/>
        </w:rPr>
        <w:t>2.</w:t>
      </w:r>
      <w:r>
        <w:rPr>
          <w:rFonts w:ascii="Times New Roman" w:hAnsi="Times New Roman" w:eastAsia="仿宋_GB2312" w:cs="Times New Roman"/>
          <w:b/>
          <w:bCs/>
          <w:kern w:val="0"/>
          <w:sz w:val="32"/>
          <w:szCs w:val="32"/>
        </w:rPr>
        <w:t>绩效目标设立依据</w:t>
      </w:r>
    </w:p>
    <w:p>
      <w:pPr>
        <w:pStyle w:val="9"/>
        <w:numPr>
          <w:ilvl w:val="0"/>
          <w:numId w:val="0"/>
        </w:numPr>
        <w:adjustRightInd w:val="0"/>
        <w:snapToGrid w:val="0"/>
        <w:spacing w:after="0" w:line="560" w:lineRule="exact"/>
        <w:ind w:left="0" w:leftChars="0" w:firstLine="640" w:firstLineChars="200"/>
        <w:rPr>
          <w:rFonts w:hint="eastAsia" w:ascii="Times New Roman" w:hAnsi="Times New Roman" w:eastAsia="仿宋_GB2312" w:cs="Times New Roman"/>
          <w:b w:val="0"/>
          <w:bCs w:val="0"/>
          <w:kern w:val="0"/>
          <w:sz w:val="32"/>
          <w:szCs w:val="32"/>
          <w:lang w:val="en-US" w:eastAsia="zh-CN"/>
        </w:rPr>
      </w:pPr>
      <w:r>
        <w:rPr>
          <w:rFonts w:hint="eastAsia" w:ascii="Times New Roman" w:hAnsi="Times New Roman" w:eastAsia="仿宋_GB2312" w:cs="Times New Roman"/>
          <w:sz w:val="32"/>
          <w:szCs w:val="32"/>
        </w:rPr>
        <w:t>市政府外办部门整体支出绩效目标是依据《中共北京市委外事工作委员会办公室、北京市人民政府外事办公室职能配置、内设机构和人员编制规定》（京办字〔</w:t>
      </w:r>
      <w:r>
        <w:rPr>
          <w:rFonts w:ascii="Times New Roman" w:hAnsi="Times New Roman" w:eastAsia="仿宋_GB2312" w:cs="Times New Roman"/>
          <w:sz w:val="32"/>
          <w:szCs w:val="32"/>
        </w:rPr>
        <w:t>2019〕14号）确定的机构设置及主要职责，</w:t>
      </w:r>
      <w:r>
        <w:rPr>
          <w:rFonts w:hint="eastAsia" w:ascii="Times New Roman" w:hAnsi="Times New Roman" w:eastAsia="仿宋_GB2312" w:cs="Times New Roman"/>
          <w:b w:val="0"/>
          <w:bCs w:val="0"/>
          <w:kern w:val="0"/>
          <w:sz w:val="32"/>
          <w:szCs w:val="32"/>
          <w:lang w:val="en-US" w:eastAsia="zh-CN"/>
        </w:rPr>
        <w:t>为全面落实</w:t>
      </w:r>
      <w:r>
        <w:rPr>
          <w:rFonts w:hint="eastAsia" w:ascii="Times New Roman" w:hAnsi="Times New Roman" w:eastAsia="仿宋_GB2312" w:cs="Times New Roman"/>
          <w:sz w:val="32"/>
          <w:szCs w:val="32"/>
        </w:rPr>
        <w:t>市委十三届四次全会和市两会部署要求</w:t>
      </w:r>
      <w:r>
        <w:rPr>
          <w:rFonts w:hint="eastAsia" w:ascii="Times New Roman" w:hAnsi="Times New Roman" w:eastAsia="仿宋_GB2312" w:cs="Times New Roman"/>
          <w:b w:val="0"/>
          <w:bCs w:val="0"/>
          <w:kern w:val="0"/>
          <w:sz w:val="32"/>
          <w:szCs w:val="32"/>
          <w:lang w:val="en-US" w:eastAsia="zh-CN"/>
        </w:rPr>
        <w:t>，推动我市外事港澳工作和国际交往中心功能建设取得新成效，</w:t>
      </w:r>
      <w:r>
        <w:rPr>
          <w:rFonts w:ascii="Times New Roman" w:hAnsi="Times New Roman" w:eastAsia="仿宋_GB2312" w:cs="Times New Roman"/>
          <w:sz w:val="32"/>
          <w:szCs w:val="32"/>
        </w:rPr>
        <w:t>结合年度工作要点</w:t>
      </w:r>
      <w:r>
        <w:rPr>
          <w:rFonts w:hint="eastAsia" w:ascii="Times New Roman" w:hAnsi="Times New Roman" w:eastAsia="仿宋_GB2312" w:cs="Times New Roman"/>
          <w:sz w:val="32"/>
          <w:szCs w:val="32"/>
        </w:rPr>
        <w:t>设定。</w:t>
      </w:r>
    </w:p>
    <w:p>
      <w:pPr>
        <w:adjustRightInd w:val="0"/>
        <w:snapToGrid w:val="0"/>
        <w:spacing w:after="0" w:line="560" w:lineRule="exact"/>
        <w:ind w:firstLine="642" w:firstLineChars="200"/>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3.目标与职责任务匹配情况</w:t>
      </w:r>
    </w:p>
    <w:p>
      <w:pPr>
        <w:adjustRightInd w:val="0"/>
        <w:snapToGrid w:val="0"/>
        <w:spacing w:after="0"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市政府外办整体绩效目标设立，能够紧密结合部门职责，通过对比市政府外办</w:t>
      </w:r>
      <w:r>
        <w:rPr>
          <w:rFonts w:ascii="Times New Roman" w:hAnsi="Times New Roman" w:eastAsia="仿宋_GB2312" w:cs="Times New Roman"/>
          <w:kern w:val="0"/>
          <w:sz w:val="32"/>
          <w:szCs w:val="32"/>
        </w:rPr>
        <w:t>2024</w:t>
      </w:r>
      <w:r>
        <w:rPr>
          <w:rFonts w:hint="eastAsia" w:ascii="Times New Roman" w:hAnsi="Times New Roman" w:eastAsia="仿宋_GB2312" w:cs="Times New Roman"/>
          <w:kern w:val="0"/>
          <w:sz w:val="32"/>
          <w:szCs w:val="32"/>
        </w:rPr>
        <w:t>年工作要点等资料，部门整体绩效目标及相关指标涵盖整个年度重点工作任务，匹配程度较高。</w:t>
      </w:r>
    </w:p>
    <w:p>
      <w:pPr>
        <w:adjustRightInd w:val="0"/>
        <w:snapToGrid w:val="0"/>
        <w:spacing w:after="0" w:line="560" w:lineRule="exact"/>
        <w:ind w:firstLine="642" w:firstLineChars="200"/>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4.目标合理性</w:t>
      </w:r>
    </w:p>
    <w:p>
      <w:pPr>
        <w:adjustRightInd w:val="0"/>
        <w:snapToGrid w:val="0"/>
        <w:spacing w:after="0"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市政府外办所设立目标与部门职责密切相关，与年度工作任务相符，</w:t>
      </w:r>
      <w:r>
        <w:rPr>
          <w:rFonts w:hint="eastAsia" w:ascii="Times New Roman" w:hAnsi="Times New Roman" w:eastAsia="仿宋_GB2312" w:cs="Times New Roman"/>
          <w:sz w:val="32"/>
          <w:szCs w:val="32"/>
        </w:rPr>
        <w:t>与预算资金投入相匹配，</w:t>
      </w:r>
      <w:r>
        <w:rPr>
          <w:rFonts w:hint="eastAsia" w:ascii="Times New Roman" w:hAnsi="Times New Roman" w:eastAsia="仿宋_GB2312" w:cs="Times New Roman"/>
          <w:kern w:val="0"/>
          <w:sz w:val="32"/>
          <w:szCs w:val="32"/>
        </w:rPr>
        <w:t>目标设定科学、合理。</w:t>
      </w:r>
    </w:p>
    <w:p>
      <w:pPr>
        <w:pStyle w:val="22"/>
        <w:adjustRightInd w:val="0"/>
        <w:snapToGrid w:val="0"/>
        <w:spacing w:after="0" w:line="560" w:lineRule="exact"/>
        <w:ind w:firstLine="640"/>
        <w:textAlignment w:val="baseline"/>
        <w:outlineLvl w:val="0"/>
        <w:rPr>
          <w:rFonts w:ascii="Times New Roman" w:hAnsi="Times New Roman" w:eastAsia="黑体" w:cs="Times New Roman"/>
          <w:sz w:val="32"/>
          <w:szCs w:val="32"/>
        </w:rPr>
      </w:pPr>
      <w:bookmarkStart w:id="14" w:name="_Toc23006"/>
      <w:bookmarkStart w:id="15" w:name="_Toc927"/>
      <w:bookmarkStart w:id="16" w:name="_Toc27172"/>
      <w:bookmarkStart w:id="17" w:name="_Toc17412"/>
      <w:r>
        <w:rPr>
          <w:rFonts w:hint="eastAsia" w:ascii="Times New Roman" w:hAnsi="Times New Roman" w:eastAsia="黑体" w:cs="Times New Roman"/>
          <w:sz w:val="32"/>
          <w:szCs w:val="32"/>
        </w:rPr>
        <w:t>二、当年预算执行情况</w:t>
      </w:r>
      <w:bookmarkEnd w:id="14"/>
      <w:bookmarkEnd w:id="15"/>
      <w:bookmarkEnd w:id="16"/>
      <w:bookmarkEnd w:id="17"/>
    </w:p>
    <w:p>
      <w:pPr>
        <w:adjustRightInd w:val="0"/>
        <w:snapToGrid w:val="0"/>
        <w:spacing w:after="0" w:line="560" w:lineRule="exact"/>
        <w:ind w:firstLine="640" w:firstLineChars="200"/>
        <w:rPr>
          <w:rFonts w:ascii="Times New Roman" w:hAnsi="Times New Roman" w:eastAsia="仿宋_GB2312" w:cs="Times New Roman"/>
          <w:sz w:val="32"/>
          <w:szCs w:val="32"/>
        </w:rPr>
      </w:pPr>
      <w:bookmarkStart w:id="18" w:name="_Toc7884"/>
      <w:bookmarkStart w:id="19" w:name="_Toc3885"/>
      <w:bookmarkStart w:id="20" w:name="_Toc12770"/>
      <w:bookmarkStart w:id="21" w:name="_Toc23230"/>
      <w:r>
        <w:rPr>
          <w:rFonts w:hint="eastAsia" w:ascii="Times New Roman" w:hAnsi="Times New Roman" w:eastAsia="仿宋_GB2312" w:cs="Times New Roman"/>
          <w:sz w:val="32"/>
          <w:szCs w:val="32"/>
        </w:rPr>
        <w:t>市政府外办</w:t>
      </w:r>
      <w:r>
        <w:rPr>
          <w:rFonts w:ascii="Times New Roman" w:hAnsi="Times New Roman" w:eastAsia="仿宋_GB2312" w:cs="Times New Roman"/>
          <w:sz w:val="32"/>
          <w:szCs w:val="32"/>
        </w:rPr>
        <w:t>2024</w:t>
      </w:r>
      <w:r>
        <w:rPr>
          <w:rFonts w:hint="eastAsia" w:ascii="Times New Roman" w:hAnsi="Times New Roman" w:eastAsia="仿宋_GB2312" w:cs="Times New Roman"/>
          <w:sz w:val="32"/>
          <w:szCs w:val="32"/>
        </w:rPr>
        <w:t>年全年预算数</w:t>
      </w:r>
      <w:r>
        <w:rPr>
          <w:rFonts w:ascii="Times New Roman" w:hAnsi="Times New Roman" w:eastAsia="仿宋_GB2312" w:cs="Times New Roman"/>
          <w:sz w:val="32"/>
          <w:szCs w:val="32"/>
        </w:rPr>
        <w:t>18565.22</w:t>
      </w:r>
      <w:r>
        <w:rPr>
          <w:rFonts w:hint="eastAsia" w:ascii="Times New Roman" w:hAnsi="Times New Roman" w:eastAsia="仿宋_GB2312" w:cs="Times New Roman"/>
          <w:sz w:val="32"/>
          <w:szCs w:val="32"/>
        </w:rPr>
        <w:t>万元，其中，基本支出预算数</w:t>
      </w:r>
      <w:r>
        <w:rPr>
          <w:rFonts w:ascii="Times New Roman" w:hAnsi="Times New Roman" w:eastAsia="仿宋_GB2312" w:cs="Times New Roman"/>
          <w:sz w:val="32"/>
          <w:szCs w:val="32"/>
        </w:rPr>
        <w:t>9767.19</w:t>
      </w:r>
      <w:r>
        <w:rPr>
          <w:rFonts w:hint="eastAsia" w:ascii="Times New Roman" w:hAnsi="Times New Roman" w:eastAsia="仿宋_GB2312" w:cs="Times New Roman"/>
          <w:color w:val="000000"/>
          <w:sz w:val="32"/>
          <w:szCs w:val="32"/>
        </w:rPr>
        <w:t>万元</w:t>
      </w:r>
      <w:r>
        <w:rPr>
          <w:rFonts w:hint="eastAsia" w:ascii="Times New Roman" w:hAnsi="Times New Roman" w:eastAsia="仿宋_GB2312" w:cs="Times New Roman"/>
          <w:sz w:val="32"/>
          <w:szCs w:val="32"/>
        </w:rPr>
        <w:t>，项目支出预算数</w:t>
      </w:r>
      <w:r>
        <w:rPr>
          <w:rFonts w:ascii="Times New Roman" w:hAnsi="Times New Roman" w:eastAsia="仿宋_GB2312" w:cs="Times New Roman"/>
          <w:sz w:val="32"/>
          <w:szCs w:val="32"/>
        </w:rPr>
        <w:t>8798.03</w:t>
      </w:r>
      <w:r>
        <w:rPr>
          <w:rFonts w:hint="eastAsia" w:ascii="Times New Roman" w:hAnsi="Times New Roman" w:eastAsia="仿宋_GB2312" w:cs="Times New Roman"/>
          <w:color w:val="000000"/>
          <w:sz w:val="32"/>
          <w:szCs w:val="32"/>
        </w:rPr>
        <w:t>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全年支出数</w:t>
      </w:r>
      <w:r>
        <w:rPr>
          <w:rFonts w:ascii="Times New Roman" w:hAnsi="Times New Roman" w:eastAsia="仿宋_GB2312" w:cs="Times New Roman"/>
          <w:sz w:val="32"/>
          <w:szCs w:val="32"/>
        </w:rPr>
        <w:t>17850.70</w:t>
      </w:r>
      <w:r>
        <w:rPr>
          <w:rFonts w:hint="eastAsia" w:ascii="Times New Roman" w:hAnsi="Times New Roman" w:eastAsia="仿宋_GB2312" w:cs="Times New Roman"/>
          <w:sz w:val="32"/>
          <w:szCs w:val="32"/>
        </w:rPr>
        <w:t>万元，其中，基本支出</w:t>
      </w:r>
      <w:r>
        <w:rPr>
          <w:rFonts w:ascii="Times New Roman" w:hAnsi="Times New Roman" w:eastAsia="仿宋_GB2312" w:cs="Times New Roman"/>
          <w:sz w:val="32"/>
          <w:szCs w:val="32"/>
        </w:rPr>
        <w:t>9571.01</w:t>
      </w:r>
      <w:r>
        <w:rPr>
          <w:rFonts w:hint="eastAsia" w:ascii="Times New Roman" w:hAnsi="Times New Roman" w:eastAsia="仿宋_GB2312" w:cs="Times New Roman"/>
          <w:sz w:val="32"/>
          <w:szCs w:val="32"/>
        </w:rPr>
        <w:t>万元，项目支出</w:t>
      </w:r>
      <w:r>
        <w:rPr>
          <w:rFonts w:ascii="Times New Roman" w:hAnsi="Times New Roman" w:eastAsia="仿宋_GB2312" w:cs="Times New Roman"/>
          <w:sz w:val="32"/>
          <w:szCs w:val="32"/>
        </w:rPr>
        <w:t>8279.69</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预算执行率96.15%</w:t>
      </w:r>
      <w:r>
        <w:rPr>
          <w:rFonts w:hint="eastAsia" w:ascii="Times New Roman" w:hAnsi="Times New Roman" w:eastAsia="仿宋_GB2312" w:cs="Times New Roman"/>
          <w:sz w:val="32"/>
          <w:szCs w:val="32"/>
        </w:rPr>
        <w:t>。</w:t>
      </w:r>
    </w:p>
    <w:p>
      <w:pPr>
        <w:adjustRightInd w:val="0"/>
        <w:snapToGrid w:val="0"/>
        <w:spacing w:after="0" w:line="560" w:lineRule="exact"/>
        <w:ind w:firstLine="640" w:firstLineChars="200"/>
        <w:textAlignment w:val="baseline"/>
        <w:outlineLvl w:val="0"/>
        <w:rPr>
          <w:rFonts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rPr>
        <w:t>三</w:t>
      </w:r>
      <w:r>
        <w:rPr>
          <w:rFonts w:ascii="Times New Roman" w:hAnsi="Times New Roman" w:eastAsia="黑体" w:cs="Times New Roman"/>
          <w:color w:val="000000"/>
          <w:kern w:val="0"/>
          <w:sz w:val="32"/>
          <w:szCs w:val="32"/>
        </w:rPr>
        <w:t>、整体绩效目标实现情况</w:t>
      </w:r>
      <w:bookmarkEnd w:id="18"/>
      <w:bookmarkEnd w:id="19"/>
      <w:bookmarkEnd w:id="20"/>
      <w:bookmarkEnd w:id="21"/>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bookmarkStart w:id="22" w:name="_Toc6018"/>
      <w:bookmarkStart w:id="23" w:name="_Toc12331"/>
      <w:bookmarkStart w:id="24" w:name="_Toc31884"/>
      <w:bookmarkStart w:id="25" w:name="_Toc14972"/>
      <w:r>
        <w:rPr>
          <w:rFonts w:hint="eastAsia" w:ascii="Times New Roman" w:hAnsi="Times New Roman" w:eastAsia="楷体_GB2312" w:cs="Times New Roman"/>
          <w:b w:val="0"/>
          <w:bCs w:val="0"/>
          <w:sz w:val="32"/>
          <w:szCs w:val="32"/>
        </w:rPr>
        <w:t>（一）产出完成情况分析</w:t>
      </w:r>
      <w:bookmarkEnd w:id="22"/>
      <w:bookmarkEnd w:id="23"/>
      <w:bookmarkEnd w:id="24"/>
      <w:bookmarkEnd w:id="25"/>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市政府外办结合项目实际，设置了产出指标。截至</w:t>
      </w:r>
      <w:r>
        <w:rPr>
          <w:rFonts w:ascii="Times New Roman" w:hAnsi="Times New Roman" w:eastAsia="仿宋_GB2312" w:cs="Times New Roman"/>
          <w:sz w:val="32"/>
          <w:szCs w:val="32"/>
        </w:rPr>
        <w:t>2024</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12月31日，</w:t>
      </w:r>
      <w:r>
        <w:rPr>
          <w:rFonts w:hint="eastAsia" w:ascii="Times New Roman" w:hAnsi="Times New Roman" w:eastAsia="仿宋_GB2312" w:cs="Times New Roman"/>
          <w:sz w:val="32"/>
          <w:szCs w:val="32"/>
        </w:rPr>
        <w:t>全部项目各绩效</w:t>
      </w:r>
      <w:r>
        <w:rPr>
          <w:rFonts w:ascii="Times New Roman" w:hAnsi="Times New Roman" w:eastAsia="仿宋_GB2312" w:cs="Times New Roman"/>
          <w:sz w:val="32"/>
          <w:szCs w:val="32"/>
        </w:rPr>
        <w:t>指标</w:t>
      </w:r>
      <w:r>
        <w:rPr>
          <w:rFonts w:hint="eastAsia" w:ascii="Times New Roman" w:hAnsi="Times New Roman" w:eastAsia="仿宋_GB2312" w:cs="Times New Roman"/>
          <w:sz w:val="32"/>
          <w:szCs w:val="32"/>
        </w:rPr>
        <w:t>基本完成，整体绩效目标基本实现</w:t>
      </w:r>
      <w:r>
        <w:rPr>
          <w:rFonts w:hint="eastAsia" w:ascii="Times New Roman" w:hAnsi="Times New Roman" w:eastAsia="仿宋_GB2312" w:cs="Times New Roman"/>
          <w:bCs/>
          <w:kern w:val="44"/>
          <w:sz w:val="32"/>
          <w:szCs w:val="32"/>
        </w:rPr>
        <w:t>。</w:t>
      </w:r>
    </w:p>
    <w:p>
      <w:pPr>
        <w:adjustRightInd w:val="0"/>
        <w:snapToGrid w:val="0"/>
        <w:spacing w:after="0" w:line="560" w:lineRule="exact"/>
        <w:ind w:firstLine="642" w:firstLineChars="200"/>
        <w:textAlignment w:val="baseline"/>
        <w:rPr>
          <w:rFonts w:ascii="Times New Roman" w:hAnsi="Times New Roman" w:eastAsia="仿宋_GB2312" w:cs="Times New Roman"/>
          <w:b/>
          <w:bCs/>
          <w:color w:val="000000"/>
          <w:kern w:val="0"/>
          <w:sz w:val="32"/>
          <w:szCs w:val="32"/>
        </w:rPr>
      </w:pPr>
      <w:r>
        <w:rPr>
          <w:rFonts w:ascii="Times New Roman" w:hAnsi="Times New Roman" w:eastAsia="仿宋_GB2312" w:cs="Times New Roman"/>
          <w:b/>
          <w:bCs/>
          <w:color w:val="000000"/>
          <w:kern w:val="0"/>
          <w:sz w:val="32"/>
          <w:szCs w:val="32"/>
        </w:rPr>
        <w:t>1.</w:t>
      </w:r>
      <w:bookmarkStart w:id="26" w:name="OLE_LINK2"/>
      <w:r>
        <w:rPr>
          <w:rFonts w:hint="eastAsia" w:ascii="Times New Roman" w:hAnsi="Times New Roman" w:eastAsia="仿宋_GB2312" w:cs="Times New Roman"/>
          <w:b/>
          <w:bCs/>
          <w:color w:val="000000"/>
          <w:kern w:val="0"/>
          <w:sz w:val="32"/>
          <w:szCs w:val="32"/>
        </w:rPr>
        <w:t>产出数量</w:t>
      </w:r>
      <w:bookmarkEnd w:id="26"/>
    </w:p>
    <w:p>
      <w:pPr>
        <w:adjustRightInd w:val="0"/>
        <w:snapToGrid w:val="0"/>
        <w:spacing w:after="0" w:line="560" w:lineRule="exact"/>
        <w:ind w:firstLine="640" w:firstLineChars="200"/>
        <w:rPr>
          <w:rFonts w:hint="default" w:ascii="Times New Roman" w:hAnsi="Times New Roman" w:eastAsia="仿宋_GB2312" w:cs="Times New Roman"/>
          <w:sz w:val="32"/>
          <w:szCs w:val="32"/>
        </w:rPr>
      </w:pPr>
      <w:r>
        <w:rPr>
          <w:rFonts w:ascii="Times New Roman" w:hAnsi="Times New Roman" w:eastAsia="仿宋_GB2312" w:cs="Times New Roman"/>
          <w:sz w:val="32"/>
          <w:szCs w:val="32"/>
        </w:rPr>
        <w:t>2024年，市政府外办重点任务执行成果显著。</w:t>
      </w:r>
      <w:r>
        <w:rPr>
          <w:rFonts w:hint="eastAsia" w:ascii="Times New Roman" w:hAnsi="Times New Roman" w:eastAsia="仿宋_GB2312" w:cs="Times New Roman"/>
          <w:sz w:val="32"/>
          <w:szCs w:val="32"/>
          <w:lang w:eastAsia="zh-CN"/>
        </w:rPr>
        <w:t>全年完成机场路沿线制挂旗</w:t>
      </w:r>
      <w:r>
        <w:rPr>
          <w:rFonts w:hint="eastAsia" w:ascii="Times New Roman" w:hAnsi="Times New Roman" w:eastAsia="仿宋_GB2312" w:cs="Times New Roman"/>
          <w:sz w:val="32"/>
          <w:szCs w:val="32"/>
          <w:lang w:val="en-US" w:eastAsia="zh-CN"/>
        </w:rPr>
        <w:t>29次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做好19个团组34人次出访保障工作。采集重点公共场所外语标识32161个，转接12345等外语电话1200个。</w:t>
      </w:r>
      <w:r>
        <w:rPr>
          <w:rFonts w:hint="eastAsia" w:ascii="Times New Roman" w:hAnsi="Times New Roman" w:eastAsia="仿宋_GB2312" w:cs="Times New Roman"/>
          <w:sz w:val="32"/>
          <w:szCs w:val="32"/>
          <w:lang w:eastAsia="zh-CN"/>
        </w:rPr>
        <w:t>发布官网信息</w:t>
      </w:r>
      <w:r>
        <w:rPr>
          <w:rFonts w:hint="eastAsia" w:ascii="Times New Roman" w:hAnsi="Times New Roman" w:eastAsia="仿宋_GB2312" w:cs="Times New Roman"/>
          <w:sz w:val="32"/>
          <w:szCs w:val="32"/>
          <w:lang w:val="en-US" w:eastAsia="zh-CN"/>
        </w:rPr>
        <w:t>2119条，发布</w:t>
      </w:r>
      <w:r>
        <w:rPr>
          <w:rFonts w:hint="eastAsia" w:ascii="Times New Roman" w:hAnsi="Times New Roman" w:eastAsia="仿宋_GB2312" w:cs="Times New Roman"/>
          <w:sz w:val="32"/>
          <w:szCs w:val="32"/>
          <w:lang w:eastAsia="zh-CN"/>
        </w:rPr>
        <w:t>官微信息</w:t>
      </w:r>
      <w:r>
        <w:rPr>
          <w:rFonts w:hint="eastAsia" w:ascii="Times New Roman" w:hAnsi="Times New Roman" w:eastAsia="仿宋_GB2312" w:cs="Times New Roman"/>
          <w:sz w:val="32"/>
          <w:szCs w:val="32"/>
          <w:lang w:val="en-US" w:eastAsia="zh-CN"/>
        </w:rPr>
        <w:t>768条。开展领事保护宣传教育活动25场次，活动覆盖3650万人次。完成境外安全周报53篇，完成国际城市比较信息25期。完成北京国际交往中心智库课题任务11项。精心组织各类外事人才培训班18次，累计培训1550人次。</w:t>
      </w:r>
    </w:p>
    <w:p>
      <w:pPr>
        <w:adjustRightInd w:val="0"/>
        <w:snapToGrid w:val="0"/>
        <w:spacing w:after="0" w:line="560" w:lineRule="exact"/>
        <w:ind w:firstLine="642" w:firstLineChars="200"/>
        <w:textAlignment w:val="baseline"/>
        <w:rPr>
          <w:rFonts w:ascii="Times New Roman" w:hAnsi="Times New Roman" w:eastAsia="仿宋_GB2312" w:cs="Times New Roman"/>
          <w:b/>
          <w:bCs/>
          <w:color w:val="000000"/>
          <w:kern w:val="0"/>
          <w:sz w:val="32"/>
          <w:szCs w:val="32"/>
        </w:rPr>
      </w:pPr>
      <w:r>
        <w:rPr>
          <w:rFonts w:ascii="Times New Roman" w:hAnsi="Times New Roman" w:eastAsia="仿宋_GB2312" w:cs="Times New Roman"/>
          <w:b/>
          <w:bCs/>
          <w:color w:val="000000"/>
          <w:kern w:val="0"/>
          <w:sz w:val="32"/>
          <w:szCs w:val="32"/>
        </w:rPr>
        <w:t>2.产出质量</w:t>
      </w:r>
    </w:p>
    <w:p>
      <w:pPr>
        <w:widowControl/>
        <w:adjustRightInd/>
        <w:snapToGrid/>
        <w:spacing w:after="0"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圆满完成</w:t>
      </w:r>
      <w:r>
        <w:rPr>
          <w:rFonts w:hint="eastAsia" w:ascii="Times New Roman" w:hAnsi="Times New Roman" w:eastAsia="仿宋_GB2312" w:cs="Times New Roman"/>
          <w:sz w:val="32"/>
          <w:szCs w:val="32"/>
          <w:lang w:val="en-US" w:eastAsia="zh-CN"/>
        </w:rPr>
        <w:t>2024年中非合作论坛北京峰会服务保障工作，</w:t>
      </w:r>
      <w:r>
        <w:rPr>
          <w:rFonts w:hint="eastAsia" w:ascii="Times New Roman" w:hAnsi="Times New Roman" w:eastAsia="仿宋_GB2312" w:cs="Times New Roman"/>
          <w:i w:val="0"/>
          <w:caps w:val="0"/>
          <w:color w:val="auto"/>
          <w:spacing w:val="0"/>
          <w:kern w:val="2"/>
          <w:sz w:val="32"/>
          <w:szCs w:val="32"/>
          <w:shd w:val="clear" w:fill="auto"/>
          <w:lang w:val="en-US" w:eastAsia="zh-CN" w:bidi="ar"/>
        </w:rPr>
        <w:t>服务保障国家重大活动的能力得到进一步提升</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eastAsia="zh-CN"/>
        </w:rPr>
        <w:t>发挥外办官网官微主平台渠道作用，展示对外工作进展成效。推进北京市外事信息资源综合管理大数据平台建设，</w:t>
      </w:r>
      <w:r>
        <w:rPr>
          <w:rFonts w:hint="eastAsia" w:ascii="Times New Roman" w:hAnsi="Times New Roman" w:eastAsia="仿宋_GB2312" w:cs="Times New Roman"/>
          <w:sz w:val="32"/>
          <w:szCs w:val="32"/>
          <w:lang w:val="en-US" w:eastAsia="zh-CN"/>
        </w:rPr>
        <w:t>实现全市外事信息资源的综合展示。依托北京国际交往中心智库平台，围绕国际交往中心功能建设重要领域和关键环节，推出一批高质量研究成果，转化为推动工作的政策举措。通过组织开展外事人才培训，外事系统干部队伍理论素养和业务水平持续提升，服务保障国际交往中心功能建设能力不断增强。完成新版公务护照制证系统部署及港澳通行证制证中心及配套设施建设。</w:t>
      </w:r>
    </w:p>
    <w:p>
      <w:pPr>
        <w:adjustRightInd w:val="0"/>
        <w:snapToGrid w:val="0"/>
        <w:spacing w:after="0" w:line="560" w:lineRule="exact"/>
        <w:ind w:firstLine="642" w:firstLineChars="200"/>
        <w:textAlignment w:val="baseline"/>
        <w:rPr>
          <w:rFonts w:ascii="Times New Roman" w:hAnsi="Times New Roman" w:eastAsia="仿宋_GB2312" w:cs="Times New Roman"/>
          <w:b/>
          <w:bCs/>
          <w:kern w:val="0"/>
          <w:sz w:val="32"/>
          <w:szCs w:val="32"/>
        </w:rPr>
      </w:pPr>
      <w:r>
        <w:rPr>
          <w:rFonts w:ascii="Times New Roman" w:hAnsi="Times New Roman" w:eastAsia="仿宋_GB2312" w:cs="Times New Roman"/>
          <w:b/>
          <w:sz w:val="32"/>
          <w:szCs w:val="32"/>
        </w:rPr>
        <w:t>3.产出进度</w:t>
      </w:r>
    </w:p>
    <w:p>
      <w:pPr>
        <w:adjustRightInd w:val="0"/>
        <w:snapToGrid w:val="0"/>
        <w:spacing w:after="0" w:line="560" w:lineRule="exact"/>
        <w:ind w:firstLine="640" w:firstLineChars="200"/>
        <w:textAlignment w:val="auto"/>
        <w:rPr>
          <w:rFonts w:ascii="Times New Roman" w:hAnsi="Times New Roman" w:eastAsia="仿宋_GB2312" w:cs="Times New Roman"/>
          <w:kern w:val="0"/>
          <w:sz w:val="32"/>
          <w:szCs w:val="32"/>
        </w:rPr>
      </w:pPr>
      <w:r>
        <w:rPr>
          <w:rFonts w:hint="eastAsia" w:ascii="Times New Roman" w:hAnsi="Times New Roman" w:eastAsia="仿宋_GB2312" w:cs="Times New Roman"/>
          <w:sz w:val="32"/>
          <w:szCs w:val="32"/>
        </w:rPr>
        <w:t>根据部门整体工作目标完成情况分析，</w:t>
      </w:r>
      <w:r>
        <w:rPr>
          <w:rFonts w:hint="eastAsia" w:ascii="Times New Roman" w:hAnsi="Times New Roman" w:eastAsia="仿宋_GB2312" w:cs="Times New Roman"/>
          <w:kern w:val="0"/>
          <w:sz w:val="32"/>
          <w:szCs w:val="32"/>
        </w:rPr>
        <w:t>市政府外办按照年度工作计划</w:t>
      </w:r>
      <w:r>
        <w:rPr>
          <w:rFonts w:hint="eastAsia" w:ascii="Times New Roman" w:hAnsi="Times New Roman" w:eastAsia="仿宋_GB2312" w:cs="Times New Roman"/>
          <w:kern w:val="0"/>
          <w:sz w:val="32"/>
          <w:szCs w:val="32"/>
          <w:lang w:eastAsia="zh-CN"/>
        </w:rPr>
        <w:t>和具体工作安排</w:t>
      </w:r>
      <w:r>
        <w:rPr>
          <w:rFonts w:hint="eastAsia" w:ascii="Times New Roman" w:hAnsi="Times New Roman" w:eastAsia="仿宋_GB2312" w:cs="Times New Roman"/>
          <w:kern w:val="0"/>
          <w:sz w:val="32"/>
          <w:szCs w:val="32"/>
        </w:rPr>
        <w:t>，压实主体责任，</w:t>
      </w:r>
      <w:r>
        <w:rPr>
          <w:rFonts w:hint="eastAsia" w:ascii="Times New Roman" w:hAnsi="Times New Roman" w:eastAsia="仿宋_GB2312" w:cs="Times New Roman"/>
          <w:kern w:val="0"/>
          <w:sz w:val="32"/>
          <w:szCs w:val="32"/>
          <w:lang w:eastAsia="zh-CN"/>
        </w:rPr>
        <w:t>积极</w:t>
      </w:r>
      <w:r>
        <w:rPr>
          <w:rFonts w:hint="eastAsia" w:ascii="Times New Roman" w:hAnsi="Times New Roman" w:eastAsia="仿宋_GB2312" w:cs="Times New Roman"/>
          <w:kern w:val="0"/>
          <w:sz w:val="32"/>
          <w:szCs w:val="32"/>
        </w:rPr>
        <w:t>稳妥推进工作落实，</w:t>
      </w:r>
      <w:r>
        <w:rPr>
          <w:rFonts w:hint="eastAsia" w:ascii="Times New Roman" w:hAnsi="Times New Roman" w:eastAsia="仿宋_GB2312" w:cs="Times New Roman"/>
          <w:kern w:val="0"/>
          <w:sz w:val="32"/>
          <w:szCs w:val="32"/>
          <w:lang w:eastAsia="zh-CN"/>
        </w:rPr>
        <w:t>按照时间节点，</w:t>
      </w:r>
      <w:r>
        <w:rPr>
          <w:rFonts w:hint="eastAsia" w:ascii="Times New Roman" w:hAnsi="Times New Roman" w:eastAsia="仿宋_GB2312" w:cs="Times New Roman"/>
          <w:kern w:val="0"/>
          <w:sz w:val="32"/>
          <w:szCs w:val="32"/>
        </w:rPr>
        <w:t>完成年初制定的各项指标。</w:t>
      </w:r>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bookmarkStart w:id="27" w:name="_Toc30597"/>
      <w:bookmarkStart w:id="28" w:name="_Toc20880"/>
      <w:bookmarkStart w:id="29" w:name="_Toc27645"/>
      <w:bookmarkStart w:id="30" w:name="_Toc1830"/>
      <w:r>
        <w:rPr>
          <w:rFonts w:hint="eastAsia" w:ascii="Times New Roman" w:hAnsi="Times New Roman" w:eastAsia="楷体_GB2312" w:cs="Times New Roman"/>
          <w:b w:val="0"/>
          <w:bCs w:val="0"/>
          <w:sz w:val="32"/>
          <w:szCs w:val="32"/>
        </w:rPr>
        <w:t>（二）效果实现情况分析</w:t>
      </w:r>
      <w:bookmarkEnd w:id="27"/>
      <w:bookmarkEnd w:id="28"/>
      <w:bookmarkEnd w:id="29"/>
      <w:bookmarkEnd w:id="30"/>
    </w:p>
    <w:p>
      <w:pPr>
        <w:adjustRightInd w:val="0"/>
        <w:snapToGrid w:val="0"/>
        <w:spacing w:after="0" w:line="560" w:lineRule="exact"/>
        <w:ind w:firstLine="642" w:firstLineChars="200"/>
        <w:textAlignment w:val="baseline"/>
        <w:rPr>
          <w:rFonts w:ascii="Times New Roman" w:hAnsi="Times New Roman" w:eastAsia="仿宋_GB2312" w:cs="Times New Roman"/>
          <w:b/>
          <w:bCs/>
          <w:color w:val="000000"/>
          <w:kern w:val="0"/>
          <w:sz w:val="32"/>
          <w:szCs w:val="32"/>
        </w:rPr>
      </w:pPr>
      <w:r>
        <w:rPr>
          <w:rFonts w:ascii="Times New Roman" w:hAnsi="Times New Roman" w:eastAsia="仿宋_GB2312" w:cs="Times New Roman"/>
          <w:b/>
          <w:bCs/>
          <w:color w:val="000000"/>
          <w:kern w:val="0"/>
          <w:sz w:val="32"/>
          <w:szCs w:val="32"/>
        </w:rPr>
        <w:t>1.经济效益</w:t>
      </w:r>
    </w:p>
    <w:p>
      <w:pPr>
        <w:adjustRightInd w:val="0"/>
        <w:snapToGrid w:val="0"/>
        <w:spacing w:after="0" w:line="560" w:lineRule="exact"/>
        <w:ind w:firstLine="640" w:firstLineChars="200"/>
        <w:textAlignment w:val="baseline"/>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统筹优势资源，从会见、出访、平台、机构等方面助力全市招商引资</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精心策划市领导经贸类外事和港澳活动，深化经贸、科创、旅游、教育等领域务实合作。服务保障因公出国赴港澳招商引资团组。开展</w:t>
      </w:r>
      <w:r>
        <w:rPr>
          <w:rFonts w:hint="eastAsia" w:ascii="Times New Roman" w:hAnsi="Times New Roman" w:eastAsia="仿宋_GB2312" w:cs="Times New Roman"/>
          <w:sz w:val="32"/>
          <w:szCs w:val="32"/>
          <w:lang w:val="en-US" w:eastAsia="zh-CN"/>
        </w:rPr>
        <w:t>2024京澳合作伙伴行动，深化两地全方位合作，助力澳门经济适度多元发展</w:t>
      </w:r>
      <w:r>
        <w:rPr>
          <w:rFonts w:ascii="Times New Roman" w:hAnsi="Times New Roman" w:eastAsia="仿宋_GB2312" w:cs="Times New Roman"/>
          <w:sz w:val="32"/>
          <w:szCs w:val="32"/>
        </w:rPr>
        <w:t>。</w:t>
      </w:r>
    </w:p>
    <w:p>
      <w:pPr>
        <w:adjustRightInd w:val="0"/>
        <w:snapToGrid w:val="0"/>
        <w:spacing w:after="0" w:line="560" w:lineRule="exact"/>
        <w:ind w:firstLine="642" w:firstLineChars="200"/>
        <w:textAlignment w:val="baseline"/>
        <w:rPr>
          <w:rFonts w:ascii="Times New Roman" w:hAnsi="Times New Roman" w:eastAsia="仿宋_GB2312" w:cs="Times New Roman"/>
          <w:b/>
          <w:bCs/>
          <w:color w:val="000000"/>
          <w:kern w:val="0"/>
          <w:sz w:val="32"/>
          <w:szCs w:val="32"/>
        </w:rPr>
      </w:pPr>
      <w:r>
        <w:rPr>
          <w:rFonts w:ascii="Times New Roman" w:hAnsi="Times New Roman" w:eastAsia="仿宋_GB2312" w:cs="Times New Roman"/>
          <w:b/>
          <w:bCs/>
          <w:color w:val="000000"/>
          <w:kern w:val="0"/>
          <w:sz w:val="32"/>
          <w:szCs w:val="32"/>
        </w:rPr>
        <w:t>2.社会效益</w:t>
      </w:r>
    </w:p>
    <w:p>
      <w:pPr>
        <w:adjustRightInd w:val="0"/>
        <w:snapToGrid w:val="0"/>
        <w:spacing w:after="0" w:line="560" w:lineRule="exact"/>
        <w:ind w:firstLine="640" w:firstLineChars="200"/>
        <w:textAlignment w:val="baseline"/>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进一步加强友城在经贸、人文等领域的交流合作。扎实推进预防性领事保护工作，组织开展“领保进万家”“领保大讲堂”等系列宣教活动。成功举办第四届“北京</w:t>
      </w:r>
      <w:r>
        <w:rPr>
          <w:rFonts w:hint="eastAsia" w:ascii="Times New Roman" w:hAnsi="Times New Roman" w:eastAsia="仿宋_GB2312" w:cs="Times New Roman"/>
          <w:sz w:val="32"/>
          <w:szCs w:val="32"/>
          <w:lang w:val="en-US" w:eastAsia="zh-CN"/>
        </w:rPr>
        <w:t>·国际范儿</w:t>
      </w:r>
      <w:r>
        <w:rPr>
          <w:rFonts w:hint="eastAsia" w:ascii="Times New Roman" w:hAnsi="Times New Roman" w:eastAsia="仿宋_GB2312" w:cs="Times New Roman"/>
          <w:sz w:val="32"/>
          <w:szCs w:val="32"/>
          <w:lang w:eastAsia="zh-CN"/>
        </w:rPr>
        <w:t>”短视频大赛，指导编制《国际交往中心城市指数</w:t>
      </w:r>
      <w:r>
        <w:rPr>
          <w:rFonts w:hint="eastAsia" w:ascii="Times New Roman" w:hAnsi="Times New Roman" w:eastAsia="仿宋_GB2312" w:cs="Times New Roman"/>
          <w:sz w:val="32"/>
          <w:szCs w:val="32"/>
          <w:lang w:val="en-US" w:eastAsia="zh-CN"/>
        </w:rPr>
        <w:t>2024</w:t>
      </w:r>
      <w:r>
        <w:rPr>
          <w:rFonts w:hint="eastAsia" w:ascii="Times New Roman" w:hAnsi="Times New Roman" w:eastAsia="仿宋_GB2312" w:cs="Times New Roman"/>
          <w:sz w:val="32"/>
          <w:szCs w:val="32"/>
          <w:lang w:eastAsia="zh-CN"/>
        </w:rPr>
        <w:t>》，北京继续位列全球第</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w:t>
      </w:r>
    </w:p>
    <w:p>
      <w:pPr>
        <w:adjustRightInd w:val="0"/>
        <w:snapToGrid w:val="0"/>
        <w:spacing w:after="0" w:line="560" w:lineRule="exact"/>
        <w:ind w:firstLine="642" w:firstLineChars="200"/>
        <w:textAlignment w:val="baseline"/>
        <w:rPr>
          <w:rFonts w:ascii="Times New Roman" w:hAnsi="Times New Roman" w:eastAsia="仿宋_GB2312" w:cs="Times New Roman"/>
          <w:b/>
          <w:bCs/>
          <w:color w:val="000000"/>
          <w:kern w:val="0"/>
          <w:sz w:val="32"/>
          <w:szCs w:val="32"/>
        </w:rPr>
      </w:pPr>
      <w:r>
        <w:rPr>
          <w:rFonts w:hint="eastAsia" w:ascii="Times New Roman" w:hAnsi="Times New Roman" w:eastAsia="仿宋_GB2312" w:cs="Times New Roman"/>
          <w:b/>
          <w:bCs/>
          <w:color w:val="000000"/>
          <w:kern w:val="0"/>
          <w:sz w:val="32"/>
          <w:szCs w:val="32"/>
          <w:lang w:eastAsia="zh-CN"/>
        </w:rPr>
        <w:t>3</w:t>
      </w:r>
      <w:r>
        <w:rPr>
          <w:rFonts w:ascii="Times New Roman" w:hAnsi="Times New Roman" w:eastAsia="仿宋_GB2312" w:cs="Times New Roman"/>
          <w:b/>
          <w:bCs/>
          <w:color w:val="000000"/>
          <w:kern w:val="0"/>
          <w:sz w:val="32"/>
          <w:szCs w:val="32"/>
        </w:rPr>
        <w:t>.可持续性影响</w:t>
      </w:r>
    </w:p>
    <w:p>
      <w:pPr>
        <w:adjustRightInd w:val="0"/>
        <w:snapToGrid w:val="0"/>
        <w:spacing w:after="0" w:line="560" w:lineRule="exact"/>
        <w:ind w:firstLine="640" w:firstLineChars="200"/>
        <w:textAlignment w:val="baseline"/>
        <w:rPr>
          <w:rFonts w:asciiTheme="minorHAnsi" w:hAnsiTheme="minorHAnsi" w:eastAsiaTheme="minorEastAsia" w:cstheme="minorBidi"/>
          <w:b w:val="0"/>
          <w:bCs w:val="0"/>
          <w:color w:val="000000"/>
          <w:kern w:val="2"/>
          <w:sz w:val="21"/>
          <w:szCs w:val="21"/>
        </w:rPr>
      </w:pPr>
      <w:r>
        <w:rPr>
          <w:rFonts w:hint="eastAsia" w:ascii="Times New Roman" w:hAnsi="Times New Roman" w:eastAsia="仿宋_GB2312" w:cs="Times New Roman"/>
          <w:sz w:val="32"/>
          <w:szCs w:val="32"/>
          <w:lang w:eastAsia="zh-CN"/>
        </w:rPr>
        <w:t>稳步推进吸引国际组织落户，“四平台”国际影响力显著增强。高水平举办</w:t>
      </w:r>
      <w:r>
        <w:rPr>
          <w:rFonts w:hint="eastAsia" w:ascii="Times New Roman" w:hAnsi="Times New Roman" w:eastAsia="仿宋_GB2312" w:cs="Times New Roman"/>
          <w:sz w:val="32"/>
          <w:szCs w:val="32"/>
          <w:lang w:val="en-US" w:eastAsia="zh-CN"/>
        </w:rPr>
        <w:t>2024年驻华使节招待会。</w:t>
      </w:r>
      <w:r>
        <w:rPr>
          <w:rFonts w:hint="eastAsia" w:ascii="Times New Roman" w:hAnsi="Times New Roman" w:eastAsia="仿宋_GB2312" w:cs="Times New Roman"/>
          <w:sz w:val="32"/>
          <w:szCs w:val="32"/>
          <w:lang w:eastAsia="zh-CN"/>
        </w:rPr>
        <w:t>组织“驻华外交官走进北京”“外国记者走进北京”等外宣活动，全面展示大国首都形象。编制发布《境外初次来京人员城市服务指南》，为境外初次来京人员提供服务指引</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积极争取外交部支持，协调我驻</w:t>
      </w:r>
      <w:r>
        <w:rPr>
          <w:rFonts w:hint="eastAsia" w:ascii="Times New Roman" w:hAnsi="Times New Roman" w:eastAsia="仿宋_GB2312" w:cs="Times New Roman"/>
          <w:sz w:val="32"/>
          <w:szCs w:val="32"/>
          <w:lang w:val="en-US" w:eastAsia="zh-CN"/>
        </w:rPr>
        <w:t>23个国家（我市主要客源国）使领馆签证中心对指南开展宣传。</w:t>
      </w:r>
      <w:r>
        <w:rPr>
          <w:rFonts w:hint="eastAsia" w:ascii="Times New Roman" w:hAnsi="Times New Roman" w:eastAsia="仿宋_GB2312" w:cs="Times New Roman"/>
          <w:sz w:val="32"/>
          <w:szCs w:val="32"/>
          <w:lang w:eastAsia="zh-CN"/>
        </w:rPr>
        <w:t>编制出台北京市地方标准《公共场所中文标识英文译写规范》，为各领域公共场所外语标识规范使用提供遵循。</w:t>
      </w:r>
    </w:p>
    <w:p>
      <w:pPr>
        <w:adjustRightInd w:val="0"/>
        <w:snapToGrid w:val="0"/>
        <w:spacing w:after="0" w:line="560" w:lineRule="exact"/>
        <w:ind w:firstLine="642" w:firstLineChars="200"/>
        <w:textAlignment w:val="baseline"/>
        <w:rPr>
          <w:rFonts w:ascii="Times New Roman" w:hAnsi="Times New Roman" w:eastAsia="黑体" w:cs="Times New Roman"/>
          <w:sz w:val="32"/>
          <w:szCs w:val="32"/>
        </w:rPr>
      </w:pPr>
      <w:r>
        <w:rPr>
          <w:rFonts w:hint="eastAsia" w:ascii="Times New Roman" w:hAnsi="Times New Roman" w:eastAsia="仿宋_GB2312" w:cs="Times New Roman"/>
          <w:b/>
          <w:bCs/>
          <w:color w:val="000000"/>
          <w:kern w:val="0"/>
          <w:sz w:val="32"/>
          <w:szCs w:val="32"/>
          <w:lang w:eastAsia="zh-CN"/>
        </w:rPr>
        <w:t>4</w:t>
      </w:r>
      <w:r>
        <w:rPr>
          <w:rFonts w:ascii="Times New Roman" w:hAnsi="Times New Roman" w:eastAsia="仿宋_GB2312" w:cs="Times New Roman"/>
          <w:b/>
          <w:bCs/>
          <w:color w:val="000000"/>
          <w:kern w:val="0"/>
          <w:sz w:val="32"/>
          <w:szCs w:val="32"/>
        </w:rPr>
        <w:t>.服务对象满意度</w:t>
      </w: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市政府外办坚决贯彻市委市政府决策部署，</w:t>
      </w:r>
      <w:r>
        <w:rPr>
          <w:rFonts w:hint="eastAsia" w:ascii="Times New Roman" w:hAnsi="Times New Roman" w:eastAsia="仿宋_GB2312" w:cs="Times New Roman"/>
          <w:sz w:val="32"/>
          <w:szCs w:val="32"/>
          <w:lang w:eastAsia="zh-CN"/>
        </w:rPr>
        <w:t>积极服务国家总体外交，有力服务首都高质量发展</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全面践行外事为民，不折不扣落实好各项工作任务</w:t>
      </w:r>
      <w:r>
        <w:rPr>
          <w:rFonts w:hint="eastAsia" w:ascii="Times New Roman" w:hAnsi="Times New Roman" w:eastAsia="仿宋_GB2312" w:cs="Times New Roman"/>
          <w:sz w:val="32"/>
          <w:szCs w:val="32"/>
        </w:rPr>
        <w:t>。所有设立满意度调查指标的项目，从满意度调查的抽查情况看，调查的范围和质量较高，依据</w:t>
      </w:r>
      <w:r>
        <w:rPr>
          <w:rFonts w:hint="eastAsia" w:ascii="Times New Roman" w:hAnsi="Times New Roman" w:eastAsia="仿宋_GB2312" w:cs="Times New Roman"/>
          <w:sz w:val="32"/>
          <w:szCs w:val="32"/>
          <w:lang w:eastAsia="zh-CN"/>
        </w:rPr>
        <w:t>较</w:t>
      </w:r>
      <w:r>
        <w:rPr>
          <w:rFonts w:hint="eastAsia" w:ascii="Times New Roman" w:hAnsi="Times New Roman" w:eastAsia="仿宋_GB2312" w:cs="Times New Roman"/>
          <w:sz w:val="32"/>
          <w:szCs w:val="32"/>
        </w:rPr>
        <w:t>充分，服务对象满意度基本达到目标值</w:t>
      </w:r>
      <w:r>
        <w:rPr>
          <w:rFonts w:hint="eastAsia" w:ascii="Times New Roman" w:hAnsi="Times New Roman" w:eastAsia="仿宋_GB2312" w:cs="Times New Roman"/>
          <w:sz w:val="32"/>
          <w:szCs w:val="32"/>
          <w:lang w:eastAsia="zh-CN"/>
        </w:rPr>
        <w:t>。</w:t>
      </w:r>
    </w:p>
    <w:p>
      <w:pPr>
        <w:adjustRightInd w:val="0"/>
        <w:snapToGrid w:val="0"/>
        <w:spacing w:after="0" w:line="560" w:lineRule="exact"/>
        <w:ind w:firstLine="640" w:firstLineChars="200"/>
        <w:textAlignment w:val="baseline"/>
        <w:outlineLvl w:val="0"/>
        <w:rPr>
          <w:rFonts w:ascii="Times New Roman" w:hAnsi="Times New Roman" w:eastAsia="黑体" w:cs="Times New Roman"/>
          <w:sz w:val="32"/>
          <w:szCs w:val="32"/>
        </w:rPr>
      </w:pPr>
      <w:bookmarkStart w:id="31" w:name="_Toc4480"/>
      <w:bookmarkStart w:id="32" w:name="_Toc6982"/>
      <w:bookmarkStart w:id="33" w:name="_Toc21355"/>
      <w:bookmarkStart w:id="34" w:name="_Toc28601"/>
      <w:r>
        <w:rPr>
          <w:rFonts w:hint="eastAsia" w:ascii="Times New Roman" w:hAnsi="Times New Roman" w:eastAsia="黑体" w:cs="Times New Roman"/>
          <w:sz w:val="32"/>
          <w:szCs w:val="32"/>
        </w:rPr>
        <w:t>四、预算管理情况分析</w:t>
      </w:r>
      <w:bookmarkEnd w:id="31"/>
      <w:bookmarkEnd w:id="32"/>
      <w:bookmarkEnd w:id="33"/>
      <w:bookmarkEnd w:id="34"/>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bookmarkStart w:id="35" w:name="_Toc31386"/>
      <w:bookmarkStart w:id="36" w:name="_Toc16709"/>
      <w:bookmarkStart w:id="37" w:name="_Toc19727"/>
      <w:bookmarkStart w:id="38" w:name="_Toc27131"/>
      <w:r>
        <w:rPr>
          <w:rFonts w:hint="eastAsia" w:ascii="Times New Roman" w:hAnsi="Times New Roman" w:eastAsia="楷体_GB2312" w:cs="Times New Roman"/>
          <w:b w:val="0"/>
          <w:bCs w:val="0"/>
          <w:sz w:val="32"/>
          <w:szCs w:val="32"/>
        </w:rPr>
        <w:t>（一）财务管理</w:t>
      </w:r>
      <w:bookmarkEnd w:id="35"/>
      <w:bookmarkEnd w:id="36"/>
      <w:bookmarkEnd w:id="37"/>
      <w:bookmarkEnd w:id="38"/>
    </w:p>
    <w:p>
      <w:pPr>
        <w:adjustRightInd w:val="0"/>
        <w:snapToGrid w:val="0"/>
        <w:spacing w:after="0" w:line="560" w:lineRule="exact"/>
        <w:ind w:firstLine="642" w:firstLineChars="200"/>
        <w:textAlignment w:val="baseline"/>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1.财务</w:t>
      </w:r>
      <w:r>
        <w:rPr>
          <w:rFonts w:hint="eastAsia" w:ascii="Times New Roman" w:hAnsi="Times New Roman" w:eastAsia="仿宋_GB2312" w:cs="Times New Roman"/>
          <w:b/>
          <w:bCs/>
          <w:sz w:val="32"/>
          <w:szCs w:val="32"/>
        </w:rPr>
        <w:t>管理制度健全性</w:t>
      </w: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市政府外办严格依据国家及地方相关法律法规，进一步建立健全财务管理制度，持续</w:t>
      </w:r>
      <w:r>
        <w:rPr>
          <w:rFonts w:hint="eastAsia" w:ascii="Times New Roman" w:hAnsi="Times New Roman" w:eastAsia="仿宋_GB2312" w:cs="Times New Roman"/>
          <w:kern w:val="0"/>
          <w:sz w:val="32"/>
          <w:szCs w:val="32"/>
        </w:rPr>
        <w:t>提高机关内部管理水平和风险防控能力</w:t>
      </w:r>
      <w:r>
        <w:rPr>
          <w:rFonts w:hint="eastAsia" w:ascii="Times New Roman" w:hAnsi="Times New Roman" w:eastAsia="仿宋_GB2312" w:cs="Times New Roman"/>
          <w:sz w:val="32"/>
          <w:szCs w:val="32"/>
        </w:rPr>
        <w:t>。组织</w:t>
      </w:r>
      <w:r>
        <w:rPr>
          <w:rFonts w:ascii="Times New Roman" w:hAnsi="Times New Roman" w:eastAsia="仿宋_GB2312" w:cs="Times New Roman"/>
          <w:sz w:val="32"/>
          <w:szCs w:val="32"/>
        </w:rPr>
        <w:t>修订合同管理办法、地方外事费管理办法等制度规定，</w:t>
      </w:r>
      <w:r>
        <w:rPr>
          <w:rFonts w:hint="eastAsia" w:ascii="Times New Roman" w:hAnsi="Times New Roman" w:eastAsia="仿宋_GB2312" w:cs="Times New Roman"/>
          <w:sz w:val="32"/>
          <w:szCs w:val="32"/>
        </w:rPr>
        <w:t>制定</w:t>
      </w:r>
      <w:r>
        <w:rPr>
          <w:rFonts w:ascii="Times New Roman" w:hAnsi="Times New Roman" w:eastAsia="仿宋_GB2312" w:cs="Times New Roman"/>
          <w:sz w:val="32"/>
          <w:szCs w:val="32"/>
        </w:rPr>
        <w:t>政府购买服务预算管理办法及实施方案</w:t>
      </w:r>
      <w:r>
        <w:rPr>
          <w:rFonts w:hint="eastAsia" w:ascii="Times New Roman" w:hAnsi="Times New Roman" w:eastAsia="仿宋_GB2312" w:cs="Times New Roman"/>
          <w:sz w:val="32"/>
          <w:szCs w:val="32"/>
        </w:rPr>
        <w:t>，有效加强内部制度的规范性和适用性，</w:t>
      </w:r>
      <w:r>
        <w:rPr>
          <w:rFonts w:hint="eastAsia" w:ascii="Times New Roman" w:hAnsi="Times New Roman" w:eastAsia="仿宋_GB2312" w:cs="Times New Roman"/>
          <w:kern w:val="2"/>
          <w:sz w:val="32"/>
          <w:szCs w:val="32"/>
        </w:rPr>
        <w:t>提高合同审批签订及履约执行、专项资金使用</w:t>
      </w:r>
      <w:r>
        <w:rPr>
          <w:rFonts w:ascii="Times New Roman" w:hAnsi="Times New Roman" w:eastAsia="仿宋_GB2312" w:cs="Times New Roman"/>
          <w:sz w:val="32"/>
          <w:szCs w:val="32"/>
        </w:rPr>
        <w:t>、政府购买服务</w:t>
      </w:r>
      <w:r>
        <w:rPr>
          <w:rFonts w:hint="eastAsia" w:ascii="Times New Roman" w:hAnsi="Times New Roman" w:eastAsia="仿宋_GB2312" w:cs="Times New Roman"/>
          <w:kern w:val="2"/>
          <w:sz w:val="32"/>
          <w:szCs w:val="32"/>
        </w:rPr>
        <w:t>的制度化、规范化水平。</w:t>
      </w: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在内部控制方面，市政府外办不断健全内部监督制度，规定内部监督的程序和要求，对内部控制建立与实施情况进行内部监督检查和自我评价，有效提升财务管理水平与资金使用效益。</w:t>
      </w:r>
    </w:p>
    <w:p>
      <w:pPr>
        <w:adjustRightInd w:val="0"/>
        <w:snapToGrid w:val="0"/>
        <w:spacing w:after="0"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评价分析认为，市政府外办财务管理制度和内部监督制度较健全，</w:t>
      </w:r>
      <w:r>
        <w:rPr>
          <w:rFonts w:hint="eastAsia" w:ascii="Times New Roman" w:hAnsi="Times New Roman" w:eastAsia="仿宋_GB2312" w:cs="Times New Roman"/>
          <w:sz w:val="32"/>
          <w:szCs w:val="32"/>
        </w:rPr>
        <w:t>全面覆盖预算编制、执行、监督以及资产管理、采购管理等各个关键环节，</w:t>
      </w:r>
      <w:r>
        <w:rPr>
          <w:rFonts w:hint="eastAsia" w:ascii="Times New Roman" w:hAnsi="Times New Roman" w:eastAsia="仿宋_GB2312" w:cs="Times New Roman"/>
          <w:sz w:val="32"/>
          <w:szCs w:val="32"/>
          <w:lang w:eastAsia="zh-CN"/>
        </w:rPr>
        <w:t>确保了</w:t>
      </w:r>
      <w:r>
        <w:rPr>
          <w:rFonts w:hint="eastAsia" w:ascii="Times New Roman" w:hAnsi="Times New Roman" w:eastAsia="仿宋_GB2312" w:cs="Times New Roman"/>
          <w:kern w:val="0"/>
          <w:sz w:val="32"/>
          <w:szCs w:val="32"/>
        </w:rPr>
        <w:t>预算执行</w:t>
      </w:r>
      <w:r>
        <w:rPr>
          <w:rFonts w:hint="eastAsia" w:ascii="Times New Roman" w:hAnsi="Times New Roman" w:eastAsia="仿宋_GB2312" w:cs="Times New Roman"/>
          <w:kern w:val="0"/>
          <w:sz w:val="32"/>
          <w:szCs w:val="32"/>
          <w:lang w:eastAsia="zh-CN"/>
        </w:rPr>
        <w:t>的</w:t>
      </w:r>
      <w:r>
        <w:rPr>
          <w:rFonts w:hint="eastAsia" w:ascii="Times New Roman" w:hAnsi="Times New Roman" w:eastAsia="仿宋_GB2312" w:cs="Times New Roman"/>
          <w:kern w:val="0"/>
          <w:sz w:val="32"/>
          <w:szCs w:val="32"/>
        </w:rPr>
        <w:t>规范和绩效目标的实现。</w:t>
      </w:r>
    </w:p>
    <w:p>
      <w:pPr>
        <w:adjustRightInd w:val="0"/>
        <w:snapToGrid w:val="0"/>
        <w:spacing w:after="0" w:line="56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2.资金使用合规性</w:t>
      </w:r>
      <w:r>
        <w:rPr>
          <w:rFonts w:hint="eastAsia" w:ascii="Times New Roman" w:hAnsi="Times New Roman" w:eastAsia="仿宋_GB2312" w:cs="Times New Roman"/>
          <w:b/>
          <w:bCs/>
          <w:sz w:val="32"/>
          <w:szCs w:val="32"/>
        </w:rPr>
        <w:t>和安全性</w:t>
      </w:r>
    </w:p>
    <w:p>
      <w:pPr>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市政府外办认真遵守预算编报、预算执行、政府采购、资产管理、合同管理、绩效管理等相关规定。市政府外办建立了覆盖所属预算单位的内部控制系统，严把资金支出审核，资金使用严格执行内控制度。</w:t>
      </w:r>
      <w:r>
        <w:rPr>
          <w:rFonts w:hint="eastAsia" w:ascii="Times New Roman" w:hAnsi="Times New Roman" w:eastAsia="仿宋_GB2312" w:cs="Times New Roman"/>
          <w:kern w:val="0"/>
          <w:sz w:val="32"/>
          <w:szCs w:val="32"/>
        </w:rPr>
        <w:t>从经费支出情况自查、预算执行审计、主要领导经济责任审计等情况来看，制度执行较好，会计核算准确规范，支出凭单、发票、请示材料、执行材料、验收材料等附件较为齐全，资金使用合规性较强，资金使用安全性较高。</w:t>
      </w:r>
    </w:p>
    <w:p>
      <w:pPr>
        <w:adjustRightInd w:val="0"/>
        <w:snapToGrid w:val="0"/>
        <w:spacing w:after="0" w:line="560" w:lineRule="exact"/>
        <w:ind w:firstLine="642" w:firstLineChars="200"/>
        <w:rPr>
          <w:rFonts w:ascii="Times New Roman" w:hAnsi="Times New Roman" w:eastAsia="仿宋_GB2312" w:cs="Times New Roman"/>
          <w:b/>
          <w:sz w:val="32"/>
        </w:rPr>
      </w:pPr>
      <w:bookmarkStart w:id="39" w:name="_Toc12409"/>
      <w:bookmarkStart w:id="40" w:name="_Toc5950"/>
      <w:bookmarkStart w:id="41" w:name="_Toc24440"/>
      <w:bookmarkStart w:id="42" w:name="_Toc16450"/>
      <w:r>
        <w:rPr>
          <w:rFonts w:hint="eastAsia" w:ascii="Times New Roman" w:hAnsi="Times New Roman" w:eastAsia="仿宋_GB2312" w:cs="Times New Roman"/>
          <w:b/>
          <w:sz w:val="32"/>
          <w:lang w:val="en-US" w:eastAsia="zh-CN"/>
        </w:rPr>
        <w:t>3</w:t>
      </w:r>
      <w:r>
        <w:rPr>
          <w:rFonts w:ascii="Times New Roman" w:hAnsi="Times New Roman" w:eastAsia="仿宋_GB2312" w:cs="Times New Roman"/>
          <w:b/>
          <w:sz w:val="32"/>
        </w:rPr>
        <w:t>.会计基础信息完善性</w:t>
      </w:r>
    </w:p>
    <w:p>
      <w:pPr>
        <w:adjustRightInd w:val="0"/>
        <w:snapToGrid w:val="0"/>
        <w:spacing w:after="0" w:line="56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kern w:val="0"/>
          <w:sz w:val="32"/>
          <w:szCs w:val="32"/>
        </w:rPr>
        <w:t>市政府外办严格按照政府会计制度和《财政部关于贯彻实施政府会计准则制度的通知》要求做好会计工作</w:t>
      </w:r>
      <w:r>
        <w:rPr>
          <w:rFonts w:ascii="Times New Roman" w:hAnsi="Times New Roman" w:eastAsia="仿宋_GB2312" w:cs="Times New Roman"/>
          <w:sz w:val="32"/>
        </w:rPr>
        <w:t>。绩效评价中查阅了2024年部门决算、2024年财务报告，以及重点项目的记账凭证等会计基础信息资料。</w:t>
      </w:r>
      <w:r>
        <w:rPr>
          <w:rFonts w:hint="eastAsia" w:ascii="Times New Roman" w:hAnsi="Times New Roman" w:eastAsia="仿宋_GB2312" w:cs="Times New Roman"/>
          <w:sz w:val="32"/>
        </w:rPr>
        <w:t>财务部门</w:t>
      </w:r>
      <w:r>
        <w:rPr>
          <w:rFonts w:ascii="Times New Roman" w:hAnsi="Times New Roman" w:eastAsia="仿宋_GB2312" w:cs="Times New Roman"/>
          <w:sz w:val="32"/>
        </w:rPr>
        <w:t>会计账目记载准确，</w:t>
      </w:r>
      <w:r>
        <w:rPr>
          <w:rFonts w:hint="eastAsia" w:ascii="Times New Roman" w:hAnsi="Times New Roman" w:eastAsia="仿宋_GB2312" w:cs="Times New Roman"/>
          <w:sz w:val="32"/>
        </w:rPr>
        <w:t>账簿和会计报表勾稽关系相互对应，</w:t>
      </w:r>
      <w:r>
        <w:rPr>
          <w:rFonts w:ascii="Times New Roman" w:hAnsi="Times New Roman" w:eastAsia="仿宋_GB2312" w:cs="Times New Roman"/>
          <w:sz w:val="32"/>
        </w:rPr>
        <w:t>决算报表和财务报告符合要求，报销附件规范，原始凭证要素齐全。为做好预算管理、绩效管理提供了真实、完整的基础信息资料。</w:t>
      </w:r>
      <w:r>
        <w:rPr>
          <w:rFonts w:hint="eastAsia" w:ascii="Times New Roman" w:hAnsi="Times New Roman" w:eastAsia="仿宋_GB2312" w:cs="Times New Roman"/>
          <w:kern w:val="0"/>
          <w:sz w:val="32"/>
          <w:szCs w:val="32"/>
        </w:rPr>
        <w:t>按要求做好预决算信息、政府采购信息向社会公开工作</w:t>
      </w:r>
      <w:bookmarkStart w:id="43" w:name="OLE_LINK3"/>
      <w:r>
        <w:rPr>
          <w:rFonts w:hint="eastAsia" w:ascii="Times New Roman" w:hAnsi="Times New Roman" w:eastAsia="仿宋_GB2312" w:cs="Times New Roman"/>
          <w:kern w:val="0"/>
          <w:sz w:val="32"/>
          <w:szCs w:val="32"/>
        </w:rPr>
        <w:t>。</w:t>
      </w:r>
      <w:bookmarkEnd w:id="43"/>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r>
        <w:rPr>
          <w:rFonts w:hint="eastAsia" w:ascii="Times New Roman" w:hAnsi="Times New Roman" w:eastAsia="楷体_GB2312" w:cs="Times New Roman"/>
          <w:b w:val="0"/>
          <w:bCs w:val="0"/>
          <w:sz w:val="32"/>
          <w:szCs w:val="32"/>
        </w:rPr>
        <w:t>（二）资产管理</w:t>
      </w:r>
      <w:bookmarkEnd w:id="39"/>
      <w:bookmarkEnd w:id="40"/>
      <w:bookmarkEnd w:id="41"/>
      <w:bookmarkEnd w:id="42"/>
    </w:p>
    <w:p>
      <w:pPr>
        <w:adjustRightInd w:val="0"/>
        <w:snapToGrid w:val="0"/>
        <w:spacing w:after="0" w:line="560" w:lineRule="exact"/>
        <w:ind w:firstLine="640" w:firstLineChars="200"/>
        <w:rPr>
          <w:rFonts w:ascii="Times New Roman" w:hAnsi="Times New Roman" w:eastAsia="仿宋_GB2312" w:cs="Times New Roman"/>
          <w:kern w:val="0"/>
          <w:sz w:val="32"/>
          <w:szCs w:val="32"/>
        </w:rPr>
      </w:pPr>
      <w:bookmarkStart w:id="44" w:name="_Toc23561"/>
      <w:bookmarkStart w:id="45" w:name="_Toc11768"/>
      <w:bookmarkStart w:id="46" w:name="_Toc18561"/>
      <w:bookmarkStart w:id="47" w:name="_Toc14210"/>
      <w:r>
        <w:rPr>
          <w:rFonts w:hint="eastAsia" w:ascii="Times New Roman" w:hAnsi="Times New Roman" w:eastAsia="仿宋_GB2312" w:cs="Times New Roman"/>
          <w:kern w:val="0"/>
          <w:sz w:val="32"/>
          <w:szCs w:val="32"/>
        </w:rPr>
        <w:t>市政府外办根据财政部第</w:t>
      </w:r>
      <w:r>
        <w:rPr>
          <w:rFonts w:ascii="Times New Roman" w:hAnsi="Times New Roman" w:eastAsia="仿宋_GB2312" w:cs="Times New Roman"/>
          <w:kern w:val="0"/>
          <w:sz w:val="32"/>
          <w:szCs w:val="32"/>
        </w:rPr>
        <w:t>35</w:t>
      </w:r>
      <w:r>
        <w:rPr>
          <w:rFonts w:hint="eastAsia" w:ascii="Times New Roman" w:hAnsi="Times New Roman" w:eastAsia="仿宋_GB2312" w:cs="Times New Roman"/>
          <w:kern w:val="0"/>
          <w:sz w:val="32"/>
          <w:szCs w:val="32"/>
        </w:rPr>
        <w:t>号令《行政单位国有资产管理暂行办法》、第</w:t>
      </w:r>
      <w:r>
        <w:rPr>
          <w:rFonts w:ascii="Times New Roman" w:hAnsi="Times New Roman" w:eastAsia="仿宋_GB2312" w:cs="Times New Roman"/>
          <w:kern w:val="0"/>
          <w:sz w:val="32"/>
          <w:szCs w:val="32"/>
        </w:rPr>
        <w:t>36</w:t>
      </w:r>
      <w:r>
        <w:rPr>
          <w:rFonts w:hint="eastAsia" w:ascii="Times New Roman" w:hAnsi="Times New Roman" w:eastAsia="仿宋_GB2312" w:cs="Times New Roman"/>
          <w:kern w:val="0"/>
          <w:sz w:val="32"/>
          <w:szCs w:val="32"/>
        </w:rPr>
        <w:t>号令《事业单位国有资产管理暂行办法》及北京市关于国有资产管理的相关规定，结合单位实际情况，制定了《北京市人民政府外事办公室固定资产管理暂行办法》，规范和加强了市政府外办资产管理工作，维护了国有资产的安全完整、合理配置和有效利用，有利于保障市政府外办整体运行和绩效目标的实现。</w:t>
      </w:r>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r>
        <w:rPr>
          <w:rFonts w:hint="eastAsia" w:ascii="Times New Roman" w:hAnsi="Times New Roman" w:eastAsia="楷体_GB2312" w:cs="Times New Roman"/>
          <w:b w:val="0"/>
          <w:bCs w:val="0"/>
          <w:sz w:val="32"/>
          <w:szCs w:val="32"/>
        </w:rPr>
        <w:t>（三）绩效管理</w:t>
      </w:r>
      <w:bookmarkEnd w:id="44"/>
      <w:bookmarkEnd w:id="45"/>
      <w:bookmarkEnd w:id="46"/>
      <w:bookmarkEnd w:id="47"/>
    </w:p>
    <w:p>
      <w:pPr>
        <w:adjustRightInd w:val="0"/>
        <w:snapToGrid w:val="0"/>
        <w:spacing w:after="0" w:line="560" w:lineRule="exact"/>
        <w:ind w:firstLine="640" w:firstLineChars="200"/>
        <w:rPr>
          <w:rFonts w:ascii="Times New Roman" w:hAnsi="Times New Roman" w:eastAsia="仿宋_GB2312" w:cs="Times New Roman"/>
          <w:sz w:val="32"/>
          <w:szCs w:val="32"/>
        </w:rPr>
      </w:pPr>
      <w:bookmarkStart w:id="48" w:name="_Toc5157"/>
      <w:bookmarkStart w:id="49" w:name="_Toc9710"/>
      <w:bookmarkStart w:id="50" w:name="_Toc5586"/>
      <w:bookmarkStart w:id="51" w:name="_Toc26533"/>
      <w:r>
        <w:rPr>
          <w:rFonts w:hint="eastAsia" w:ascii="Times New Roman" w:hAnsi="Times New Roman" w:eastAsia="仿宋_GB2312" w:cs="Times New Roman"/>
          <w:sz w:val="32"/>
          <w:szCs w:val="32"/>
        </w:rPr>
        <w:t>市政府外办高度重视预算绩效管理工作，按照全面实施预算绩效管理要求，严格执行预算绩效管理相关政策，将绩效理念融入预算编制、执行、监控全过程，实现预算与绩效有机融合，构建完善从绩效目标管理、事前绩效评估、绩效运行监控到绩效评价管理、评价结果应用的预算管理体系。</w:t>
      </w: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2025年，按照</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
        </w:rPr>
        <w:t>北京市财政局关于</w:t>
      </w:r>
      <w:r>
        <w:rPr>
          <w:rFonts w:ascii="Times New Roman" w:hAnsi="Times New Roman" w:eastAsia="仿宋_GB2312" w:cs="Times New Roman"/>
          <w:sz w:val="32"/>
          <w:szCs w:val="32"/>
          <w:lang w:val="en"/>
        </w:rPr>
        <w:t>2025年预算绩效管理工作的通知》</w:t>
      </w:r>
      <w:r>
        <w:rPr>
          <w:rFonts w:hint="eastAsia" w:ascii="Times New Roman" w:hAnsi="Times New Roman" w:eastAsia="仿宋_GB2312" w:cs="Times New Roman"/>
          <w:sz w:val="32"/>
          <w:szCs w:val="32"/>
          <w:lang w:val="en"/>
        </w:rPr>
        <w:t>（京财绩效〔</w:t>
      </w:r>
      <w:r>
        <w:rPr>
          <w:rFonts w:ascii="Times New Roman" w:hAnsi="Times New Roman" w:eastAsia="仿宋_GB2312" w:cs="Times New Roman"/>
          <w:sz w:val="32"/>
          <w:szCs w:val="32"/>
          <w:lang w:val="en"/>
        </w:rPr>
        <w:t>2025〕245号）</w:t>
      </w:r>
      <w:r>
        <w:rPr>
          <w:rFonts w:hint="eastAsia" w:ascii="Times New Roman" w:hAnsi="Times New Roman" w:eastAsia="仿宋_GB2312" w:cs="Times New Roman"/>
          <w:sz w:val="32"/>
          <w:szCs w:val="32"/>
        </w:rPr>
        <w:t>，由综合处</w:t>
      </w:r>
      <w:r>
        <w:rPr>
          <w:rFonts w:hint="eastAsia" w:ascii="Times New Roman" w:hAnsi="Times New Roman" w:eastAsia="仿宋_GB2312" w:cs="Times New Roman"/>
          <w:sz w:val="32"/>
          <w:szCs w:val="32"/>
          <w:lang w:val="en"/>
        </w:rPr>
        <w:t>牵头，指导</w:t>
      </w:r>
      <w:r>
        <w:rPr>
          <w:rFonts w:hint="eastAsia" w:ascii="Times New Roman" w:hAnsi="Times New Roman" w:eastAsia="仿宋_GB2312" w:cs="Times New Roman"/>
          <w:sz w:val="32"/>
          <w:szCs w:val="32"/>
        </w:rPr>
        <w:t>相关处室和单位对照绩效目标，梳理项目资料，归集产出成果，逐一填写上报《项目支出绩效自评表》，并对自评情况进行审核汇总，汇总分析部门整体预算执行、绩效目标实现和预算管理情况</w:t>
      </w:r>
      <w:r>
        <w:rPr>
          <w:rFonts w:ascii="Times New Roman" w:hAnsi="Times New Roman" w:eastAsia="仿宋_GB2312" w:cs="Times New Roman"/>
          <w:sz w:val="32"/>
          <w:szCs w:val="32"/>
        </w:rPr>
        <w:t>。同时</w:t>
      </w:r>
      <w:r>
        <w:rPr>
          <w:rFonts w:hint="eastAsia" w:ascii="Times New Roman" w:hAnsi="Times New Roman" w:eastAsia="仿宋_GB2312" w:cs="Times New Roman"/>
          <w:sz w:val="32"/>
          <w:szCs w:val="32"/>
        </w:rPr>
        <w:t>，聘请第三方机构对“京港合作伙伴行动服务”项目开展重点项目绩效评价。</w:t>
      </w: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rPr>
        <w:t>绩效管理组织机构设置明确、合理，工作程序规范，工作措施到位。</w:t>
      </w:r>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r>
        <w:rPr>
          <w:rFonts w:hint="eastAsia" w:ascii="Times New Roman" w:hAnsi="Times New Roman" w:eastAsia="楷体_GB2312" w:cs="Times New Roman"/>
          <w:b w:val="0"/>
          <w:bCs w:val="0"/>
          <w:sz w:val="32"/>
          <w:szCs w:val="32"/>
        </w:rPr>
        <w:t>（四）结转结余率</w:t>
      </w:r>
      <w:bookmarkEnd w:id="48"/>
      <w:bookmarkEnd w:id="49"/>
      <w:bookmarkEnd w:id="50"/>
      <w:bookmarkEnd w:id="51"/>
    </w:p>
    <w:p>
      <w:pPr>
        <w:adjustRightInd w:val="0"/>
        <w:snapToGrid w:val="0"/>
        <w:spacing w:after="0" w:line="560" w:lineRule="exact"/>
        <w:ind w:firstLine="640" w:firstLineChars="200"/>
        <w:rPr>
          <w:rFonts w:ascii="Times New Roman" w:hAnsi="Times New Roman" w:eastAsia="仿宋_GB2312" w:cs="Times New Roman"/>
          <w:sz w:val="32"/>
          <w:szCs w:val="32"/>
        </w:rPr>
      </w:pPr>
      <w:bookmarkStart w:id="52" w:name="_Toc2548"/>
      <w:bookmarkStart w:id="53" w:name="_Toc22969"/>
      <w:bookmarkStart w:id="54" w:name="_Toc14692"/>
      <w:bookmarkStart w:id="55" w:name="_Toc4325"/>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024</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rPr>
        <w:t>末结转结余资金</w:t>
      </w:r>
      <w:r>
        <w:rPr>
          <w:rFonts w:ascii="Times New Roman" w:hAnsi="Times New Roman" w:eastAsia="仿宋_GB2312" w:cs="Times New Roman"/>
          <w:sz w:val="32"/>
          <w:szCs w:val="32"/>
        </w:rPr>
        <w:t>714.52万元（其中：一般公共预算财政拨款292.86</w:t>
      </w:r>
      <w:r>
        <w:rPr>
          <w:rFonts w:hint="eastAsia" w:ascii="Times New Roman" w:hAnsi="Times New Roman" w:eastAsia="仿宋_GB2312" w:cs="Times New Roman"/>
          <w:sz w:val="32"/>
          <w:szCs w:val="32"/>
        </w:rPr>
        <w:t>万元）。结转结余率为</w:t>
      </w:r>
      <w:r>
        <w:rPr>
          <w:rFonts w:ascii="Times New Roman" w:hAnsi="Times New Roman" w:eastAsia="仿宋_GB2312" w:cs="Times New Roman"/>
          <w:sz w:val="32"/>
          <w:szCs w:val="32"/>
        </w:rPr>
        <w:t>3.85%。</w:t>
      </w:r>
      <w:r>
        <w:rPr>
          <w:rFonts w:hint="eastAsia" w:ascii="Times New Roman" w:hAnsi="Times New Roman" w:eastAsia="仿宋_GB2312" w:cs="Times New Roman"/>
          <w:sz w:val="32"/>
          <w:szCs w:val="32"/>
        </w:rPr>
        <w:t>上年末结转结余资金</w:t>
      </w:r>
      <w:r>
        <w:rPr>
          <w:rFonts w:ascii="Times New Roman" w:hAnsi="Times New Roman" w:eastAsia="仿宋_GB2312" w:cs="Times New Roman"/>
          <w:sz w:val="32"/>
          <w:szCs w:val="32"/>
        </w:rPr>
        <w:t>1132.39</w:t>
      </w:r>
      <w:r>
        <w:rPr>
          <w:rFonts w:hint="eastAsia" w:ascii="Times New Roman" w:hAnsi="Times New Roman" w:eastAsia="仿宋_GB2312" w:cs="Times New Roman"/>
          <w:sz w:val="32"/>
          <w:szCs w:val="32"/>
        </w:rPr>
        <w:t>万元（其中：一般公共预算财政拨款</w:t>
      </w:r>
      <w:r>
        <w:rPr>
          <w:rFonts w:ascii="Times New Roman" w:hAnsi="Times New Roman" w:eastAsia="仿宋_GB2312" w:cs="Times New Roman"/>
          <w:sz w:val="32"/>
          <w:szCs w:val="32"/>
        </w:rPr>
        <w:t>785.89</w:t>
      </w:r>
      <w:r>
        <w:rPr>
          <w:rFonts w:hint="eastAsia" w:ascii="Times New Roman" w:hAnsi="Times New Roman" w:eastAsia="仿宋_GB2312" w:cs="Times New Roman"/>
          <w:sz w:val="32"/>
          <w:szCs w:val="32"/>
          <w:lang w:eastAsia="zh-CN"/>
        </w:rPr>
        <w:t>万元</w:t>
      </w:r>
      <w:r>
        <w:rPr>
          <w:rFonts w:hint="eastAsia" w:ascii="Times New Roman" w:hAnsi="Times New Roman" w:eastAsia="仿宋_GB2312" w:cs="Times New Roman"/>
          <w:sz w:val="32"/>
          <w:szCs w:val="32"/>
        </w:rPr>
        <w:t>）。本年末结转结余资金</w:t>
      </w:r>
      <w:r>
        <w:rPr>
          <w:rFonts w:hint="eastAsia" w:ascii="Times New Roman" w:hAnsi="Times New Roman" w:eastAsia="仿宋_GB2312" w:cs="Times New Roman"/>
          <w:sz w:val="32"/>
          <w:szCs w:val="32"/>
          <w:lang w:eastAsia="zh-CN"/>
        </w:rPr>
        <w:t>较</w:t>
      </w:r>
      <w:r>
        <w:rPr>
          <w:rFonts w:hint="eastAsia" w:ascii="Times New Roman" w:hAnsi="Times New Roman" w:eastAsia="仿宋_GB2312" w:cs="Times New Roman"/>
          <w:sz w:val="32"/>
          <w:szCs w:val="32"/>
        </w:rPr>
        <w:t>上年减少</w:t>
      </w:r>
      <w:r>
        <w:rPr>
          <w:rFonts w:ascii="Times New Roman" w:hAnsi="Times New Roman" w:eastAsia="仿宋_GB2312" w:cs="Times New Roman"/>
          <w:sz w:val="32"/>
          <w:szCs w:val="32"/>
        </w:rPr>
        <w:t>417.8</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，较上年下降</w:t>
      </w:r>
      <w:r>
        <w:rPr>
          <w:rFonts w:hint="eastAsia" w:ascii="Times New Roman" w:hAnsi="Times New Roman" w:eastAsia="仿宋_GB2312" w:cs="Times New Roman"/>
          <w:sz w:val="32"/>
          <w:szCs w:val="32"/>
          <w:lang w:val="en-US" w:eastAsia="zh-CN"/>
        </w:rPr>
        <w:t>36.9%</w:t>
      </w:r>
      <w:r>
        <w:rPr>
          <w:rFonts w:hint="eastAsia" w:ascii="Times New Roman" w:hAnsi="Times New Roman" w:eastAsia="仿宋_GB2312" w:cs="Times New Roman"/>
          <w:sz w:val="32"/>
          <w:szCs w:val="32"/>
        </w:rPr>
        <w:t>。</w:t>
      </w:r>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r>
        <w:rPr>
          <w:rFonts w:hint="eastAsia" w:ascii="Times New Roman" w:hAnsi="Times New Roman" w:eastAsia="楷体_GB2312" w:cs="Times New Roman"/>
          <w:b w:val="0"/>
          <w:bCs w:val="0"/>
          <w:sz w:val="32"/>
          <w:szCs w:val="32"/>
        </w:rPr>
        <w:t>（五）部门预决算差异率</w:t>
      </w:r>
      <w:bookmarkEnd w:id="52"/>
      <w:bookmarkEnd w:id="53"/>
      <w:bookmarkEnd w:id="54"/>
      <w:bookmarkEnd w:id="55"/>
    </w:p>
    <w:p>
      <w:pPr>
        <w:adjustRightInd w:val="0"/>
        <w:snapToGrid w:val="0"/>
        <w:spacing w:after="0" w:line="560" w:lineRule="exact"/>
        <w:ind w:firstLine="642" w:firstLineChars="200"/>
        <w:rPr>
          <w:rFonts w:ascii="Times New Roman" w:hAnsi="Times New Roman" w:eastAsia="仿宋_GB2312" w:cs="Times New Roman"/>
          <w:b/>
          <w:bCs/>
          <w:sz w:val="32"/>
          <w:szCs w:val="32"/>
        </w:rPr>
      </w:pPr>
      <w:bookmarkStart w:id="56" w:name="_Toc22801"/>
      <w:bookmarkStart w:id="57" w:name="_Toc17300"/>
      <w:bookmarkStart w:id="58" w:name="_Toc24471"/>
      <w:bookmarkStart w:id="59" w:name="_Toc5438"/>
      <w:r>
        <w:rPr>
          <w:rFonts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rPr>
        <w:t>收入与预算对比</w:t>
      </w: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本年度收入预算数</w:t>
      </w:r>
      <w:r>
        <w:rPr>
          <w:rFonts w:ascii="Times New Roman" w:hAnsi="Times New Roman" w:eastAsia="仿宋_GB2312" w:cs="Times New Roman"/>
          <w:sz w:val="32"/>
          <w:szCs w:val="32"/>
        </w:rPr>
        <w:t>18099.47</w:t>
      </w:r>
      <w:r>
        <w:rPr>
          <w:rFonts w:hint="eastAsia" w:ascii="Times New Roman" w:hAnsi="Times New Roman" w:eastAsia="仿宋_GB2312" w:cs="Times New Roman"/>
          <w:sz w:val="32"/>
          <w:szCs w:val="32"/>
        </w:rPr>
        <w:t>万元，收入决算数</w:t>
      </w:r>
      <w:r>
        <w:rPr>
          <w:rFonts w:ascii="Times New Roman" w:hAnsi="Times New Roman" w:eastAsia="仿宋_GB2312" w:cs="Times New Roman"/>
          <w:sz w:val="32"/>
          <w:szCs w:val="32"/>
        </w:rPr>
        <w:t>18099.47</w:t>
      </w:r>
      <w:r>
        <w:rPr>
          <w:rFonts w:hint="eastAsia" w:ascii="Times New Roman" w:hAnsi="Times New Roman" w:eastAsia="仿宋_GB2312" w:cs="Times New Roman"/>
          <w:sz w:val="32"/>
          <w:szCs w:val="32"/>
        </w:rPr>
        <w:t>万元，预算收入完成率</w:t>
      </w:r>
      <w:r>
        <w:rPr>
          <w:rFonts w:ascii="Times New Roman" w:hAnsi="Times New Roman" w:eastAsia="仿宋_GB2312" w:cs="Times New Roman"/>
          <w:sz w:val="32"/>
          <w:szCs w:val="32"/>
        </w:rPr>
        <w:t>100%。</w:t>
      </w:r>
    </w:p>
    <w:p>
      <w:pPr>
        <w:adjustRightInd w:val="0"/>
        <w:snapToGrid w:val="0"/>
        <w:spacing w:after="0" w:line="56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支出与预算对比</w:t>
      </w:r>
    </w:p>
    <w:p>
      <w:pPr>
        <w:adjustRightInd w:val="0"/>
        <w:snapToGrid w:val="0"/>
        <w:spacing w:after="0"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本年度支出预算数</w:t>
      </w:r>
      <w:r>
        <w:rPr>
          <w:rFonts w:ascii="Times New Roman" w:hAnsi="Times New Roman" w:eastAsia="仿宋_GB2312" w:cs="Times New Roman"/>
          <w:sz w:val="32"/>
          <w:szCs w:val="32"/>
        </w:rPr>
        <w:t>18565.22万元，支出决算数17850.70</w:t>
      </w:r>
      <w:r>
        <w:rPr>
          <w:rFonts w:hint="eastAsia" w:ascii="Times New Roman" w:hAnsi="Times New Roman" w:eastAsia="仿宋_GB2312" w:cs="Times New Roman"/>
          <w:sz w:val="32"/>
          <w:szCs w:val="32"/>
        </w:rPr>
        <w:t>万元，预算支出完成率</w:t>
      </w:r>
      <w:r>
        <w:rPr>
          <w:rFonts w:ascii="Times New Roman" w:hAnsi="Times New Roman" w:eastAsia="仿宋_GB2312" w:cs="Times New Roman"/>
          <w:sz w:val="32"/>
          <w:szCs w:val="32"/>
        </w:rPr>
        <w:t>96.15%</w:t>
      </w:r>
      <w:r>
        <w:rPr>
          <w:rFonts w:hint="eastAsia" w:ascii="Times New Roman" w:hAnsi="Times New Roman" w:eastAsia="仿宋_GB2312" w:cs="Times New Roman"/>
          <w:sz w:val="32"/>
          <w:szCs w:val="32"/>
        </w:rPr>
        <w:t>。其中，基本支出预算数</w:t>
      </w:r>
      <w:r>
        <w:rPr>
          <w:rFonts w:ascii="Times New Roman" w:hAnsi="Times New Roman" w:eastAsia="仿宋_GB2312" w:cs="Times New Roman"/>
          <w:sz w:val="32"/>
          <w:szCs w:val="32"/>
        </w:rPr>
        <w:t>9767.19</w:t>
      </w:r>
      <w:r>
        <w:rPr>
          <w:rFonts w:hint="eastAsia" w:ascii="Times New Roman" w:hAnsi="Times New Roman" w:eastAsia="仿宋_GB2312" w:cs="Times New Roman"/>
          <w:sz w:val="32"/>
          <w:szCs w:val="32"/>
        </w:rPr>
        <w:t>万元，支出决算数</w:t>
      </w:r>
      <w:r>
        <w:rPr>
          <w:rFonts w:ascii="Times New Roman" w:hAnsi="Times New Roman" w:eastAsia="仿宋_GB2312" w:cs="Times New Roman"/>
          <w:sz w:val="32"/>
          <w:szCs w:val="32"/>
        </w:rPr>
        <w:t>9571.01</w:t>
      </w:r>
      <w:r>
        <w:rPr>
          <w:rFonts w:hint="eastAsia" w:ascii="Times New Roman" w:hAnsi="Times New Roman" w:eastAsia="仿宋_GB2312" w:cs="Times New Roman"/>
          <w:sz w:val="32"/>
          <w:szCs w:val="32"/>
        </w:rPr>
        <w:t>万元，完成率</w:t>
      </w:r>
      <w:r>
        <w:rPr>
          <w:rFonts w:ascii="Times New Roman" w:hAnsi="Times New Roman" w:eastAsia="仿宋_GB2312" w:cs="Times New Roman"/>
          <w:sz w:val="32"/>
          <w:szCs w:val="32"/>
        </w:rPr>
        <w:t>97.99%</w:t>
      </w:r>
      <w:r>
        <w:rPr>
          <w:rFonts w:hint="eastAsia" w:ascii="Times New Roman" w:hAnsi="Times New Roman" w:eastAsia="仿宋_GB2312" w:cs="Times New Roman"/>
          <w:sz w:val="32"/>
          <w:szCs w:val="32"/>
        </w:rPr>
        <w:t>；项目支出预算数</w:t>
      </w:r>
      <w:r>
        <w:rPr>
          <w:rFonts w:ascii="Times New Roman" w:hAnsi="Times New Roman" w:eastAsia="仿宋_GB2312" w:cs="Times New Roman"/>
          <w:sz w:val="32"/>
          <w:szCs w:val="32"/>
        </w:rPr>
        <w:t>8798.03</w:t>
      </w:r>
      <w:r>
        <w:rPr>
          <w:rFonts w:hint="eastAsia" w:ascii="Times New Roman" w:hAnsi="Times New Roman" w:eastAsia="仿宋_GB2312" w:cs="Times New Roman"/>
          <w:sz w:val="32"/>
          <w:szCs w:val="32"/>
        </w:rPr>
        <w:t>万元，支出决算数</w:t>
      </w:r>
      <w:r>
        <w:rPr>
          <w:rFonts w:ascii="Times New Roman" w:hAnsi="Times New Roman" w:eastAsia="仿宋_GB2312" w:cs="Times New Roman"/>
          <w:sz w:val="32"/>
          <w:szCs w:val="32"/>
        </w:rPr>
        <w:t>8279.69</w:t>
      </w:r>
      <w:r>
        <w:rPr>
          <w:rFonts w:hint="eastAsia" w:ascii="Times New Roman" w:hAnsi="Times New Roman" w:eastAsia="仿宋_GB2312" w:cs="Times New Roman"/>
          <w:sz w:val="32"/>
          <w:szCs w:val="32"/>
        </w:rPr>
        <w:t>万元，完成率</w:t>
      </w:r>
      <w:r>
        <w:rPr>
          <w:rFonts w:ascii="Times New Roman" w:hAnsi="Times New Roman" w:eastAsia="仿宋_GB2312" w:cs="Times New Roman"/>
          <w:sz w:val="32"/>
          <w:szCs w:val="32"/>
        </w:rPr>
        <w:t>94.11%</w:t>
      </w:r>
      <w:r>
        <w:rPr>
          <w:rFonts w:hint="eastAsia" w:ascii="Times New Roman" w:hAnsi="Times New Roman" w:eastAsia="仿宋_GB2312" w:cs="Times New Roman"/>
          <w:sz w:val="32"/>
          <w:szCs w:val="32"/>
        </w:rPr>
        <w:t>。</w:t>
      </w:r>
    </w:p>
    <w:p>
      <w:pPr>
        <w:adjustRightInd w:val="0"/>
        <w:snapToGrid w:val="0"/>
        <w:spacing w:after="0" w:line="560" w:lineRule="exact"/>
        <w:ind w:firstLine="640" w:firstLineChars="200"/>
        <w:textAlignment w:val="baseline"/>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五、总体</w:t>
      </w:r>
      <w:r>
        <w:rPr>
          <w:rFonts w:ascii="Times New Roman" w:hAnsi="Times New Roman" w:eastAsia="黑体" w:cs="Times New Roman"/>
          <w:sz w:val="32"/>
          <w:szCs w:val="32"/>
        </w:rPr>
        <w:t>评价结论</w:t>
      </w:r>
      <w:bookmarkEnd w:id="56"/>
      <w:bookmarkEnd w:id="57"/>
      <w:bookmarkEnd w:id="58"/>
      <w:bookmarkEnd w:id="59"/>
    </w:p>
    <w:p>
      <w:pPr>
        <w:adjustRightInd w:val="0"/>
        <w:snapToGrid w:val="0"/>
        <w:spacing w:after="0" w:line="560" w:lineRule="exact"/>
        <w:ind w:firstLine="640" w:firstLineChars="200"/>
        <w:textAlignment w:val="baseline"/>
        <w:outlineLvl w:val="1"/>
        <w:rPr>
          <w:rFonts w:ascii="Times New Roman" w:hAnsi="Times New Roman" w:eastAsia="楷体_GB2312" w:cs="Times New Roman"/>
          <w:b w:val="0"/>
          <w:bCs w:val="0"/>
          <w:sz w:val="32"/>
          <w:szCs w:val="32"/>
        </w:rPr>
      </w:pPr>
      <w:bookmarkStart w:id="60" w:name="_Toc16148"/>
      <w:bookmarkStart w:id="61" w:name="_Toc19197"/>
      <w:bookmarkStart w:id="62" w:name="_Toc19987"/>
      <w:bookmarkStart w:id="63" w:name="_Toc28469"/>
      <w:r>
        <w:rPr>
          <w:rFonts w:hint="eastAsia" w:ascii="Times New Roman" w:hAnsi="Times New Roman" w:eastAsia="楷体_GB2312" w:cs="Times New Roman"/>
          <w:b w:val="0"/>
          <w:bCs w:val="0"/>
          <w:sz w:val="32"/>
          <w:szCs w:val="32"/>
        </w:rPr>
        <w:t>（一）评价得分情况</w:t>
      </w:r>
      <w:bookmarkEnd w:id="60"/>
      <w:bookmarkEnd w:id="61"/>
      <w:bookmarkEnd w:id="62"/>
      <w:bookmarkEnd w:id="63"/>
    </w:p>
    <w:p>
      <w:pPr>
        <w:adjustRightInd w:val="0"/>
        <w:snapToGrid w:val="0"/>
        <w:spacing w:after="313" w:afterLines="100" w:line="560" w:lineRule="exact"/>
        <w:ind w:firstLine="640" w:firstLineChars="200"/>
        <w:textAlignment w:val="baseline"/>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经过综合评价，市政府外办</w:t>
      </w:r>
      <w:r>
        <w:rPr>
          <w:rFonts w:ascii="Times New Roman" w:hAnsi="Times New Roman" w:eastAsia="仿宋_GB2312" w:cs="Times New Roman"/>
          <w:sz w:val="32"/>
          <w:szCs w:val="32"/>
        </w:rPr>
        <w:t>2024</w:t>
      </w:r>
      <w:r>
        <w:rPr>
          <w:rFonts w:hint="eastAsia" w:ascii="Times New Roman" w:hAnsi="Times New Roman" w:eastAsia="仿宋_GB2312" w:cs="Times New Roman"/>
          <w:sz w:val="32"/>
          <w:szCs w:val="32"/>
        </w:rPr>
        <w:t>年度部门整体支出绩效评价综合得分</w:t>
      </w:r>
      <w:r>
        <w:rPr>
          <w:rFonts w:ascii="Times New Roman" w:hAnsi="Times New Roman" w:eastAsia="仿宋_GB2312" w:cs="Times New Roman"/>
          <w:sz w:val="32"/>
          <w:szCs w:val="32"/>
        </w:rPr>
        <w:t>94.23</w:t>
      </w:r>
      <w:r>
        <w:rPr>
          <w:rFonts w:hint="eastAsia" w:ascii="Times New Roman" w:hAnsi="Times New Roman" w:eastAsia="仿宋_GB2312" w:cs="Times New Roman"/>
          <w:sz w:val="32"/>
          <w:szCs w:val="32"/>
        </w:rPr>
        <w:t>分，评定等次为“优”。</w:t>
      </w:r>
    </w:p>
    <w:p>
      <w:pPr>
        <w:pStyle w:val="13"/>
        <w:adjustRightInd w:val="0"/>
        <w:snapToGrid w:val="0"/>
        <w:spacing w:after="156" w:afterLines="50"/>
        <w:ind w:left="0" w:leftChars="0"/>
        <w:jc w:val="center"/>
        <w:textAlignment w:val="baseline"/>
        <w:rPr>
          <w:rFonts w:ascii="Times New Roman" w:hAnsi="Times New Roman" w:eastAsia="宋体" w:cs="Times New Roman"/>
          <w:b/>
          <w:bCs/>
          <w:sz w:val="28"/>
          <w:szCs w:val="28"/>
        </w:rPr>
      </w:pPr>
      <w:r>
        <w:rPr>
          <w:rFonts w:hint="eastAsia" w:ascii="Times New Roman" w:hAnsi="Times New Roman" w:eastAsia="宋体" w:cs="Times New Roman"/>
          <w:b/>
          <w:bCs/>
          <w:sz w:val="28"/>
          <w:szCs w:val="28"/>
        </w:rPr>
        <w:t>市政府外办部门整体支出绩效评价得分表</w:t>
      </w:r>
    </w:p>
    <w:tbl>
      <w:tblPr>
        <w:tblStyle w:val="19"/>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004"/>
        <w:gridCol w:w="2673"/>
        <w:gridCol w:w="2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tblHeader/>
          <w:jc w:val="center"/>
        </w:trPr>
        <w:tc>
          <w:tcPr>
            <w:tcW w:w="3004" w:type="dxa"/>
            <w:shd w:val="clear" w:color="auto" w:fill="BEBEBE"/>
            <w:vAlign w:val="center"/>
          </w:tcPr>
          <w:p>
            <w:pPr>
              <w:snapToGrid w:val="0"/>
              <w:jc w:val="center"/>
              <w:textAlignment w:val="baseline"/>
              <w:rPr>
                <w:rFonts w:ascii="Times New Roman" w:hAnsi="Times New Roman" w:eastAsia="宋体" w:cs="Times New Roman"/>
                <w:b/>
                <w:sz w:val="24"/>
                <w:szCs w:val="24"/>
              </w:rPr>
            </w:pPr>
            <w:r>
              <w:rPr>
                <w:rFonts w:hint="eastAsia" w:ascii="Times New Roman" w:hAnsi="Times New Roman" w:eastAsia="宋体" w:cs="Times New Roman"/>
                <w:b/>
                <w:sz w:val="24"/>
                <w:szCs w:val="24"/>
              </w:rPr>
              <w:t>评价内容</w:t>
            </w:r>
          </w:p>
        </w:tc>
        <w:tc>
          <w:tcPr>
            <w:tcW w:w="2673" w:type="dxa"/>
            <w:shd w:val="clear" w:color="auto" w:fill="BEBEBE"/>
            <w:vAlign w:val="center"/>
          </w:tcPr>
          <w:p>
            <w:pPr>
              <w:snapToGrid w:val="0"/>
              <w:jc w:val="center"/>
              <w:textAlignment w:val="baseline"/>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c>
          <w:tcPr>
            <w:tcW w:w="2808" w:type="dxa"/>
            <w:shd w:val="clear" w:color="auto" w:fill="BEBEBE"/>
            <w:vAlign w:val="center"/>
          </w:tcPr>
          <w:p>
            <w:pPr>
              <w:snapToGrid w:val="0"/>
              <w:jc w:val="center"/>
              <w:textAlignment w:val="baseline"/>
              <w:rPr>
                <w:rFonts w:ascii="Times New Roman" w:hAnsi="Times New Roman" w:eastAsia="宋体" w:cs="Times New Roman"/>
                <w:b/>
                <w:sz w:val="24"/>
                <w:szCs w:val="24"/>
              </w:rPr>
            </w:pPr>
            <w:r>
              <w:rPr>
                <w:rFonts w:hint="eastAsia" w:ascii="Times New Roman" w:hAnsi="Times New Roman" w:eastAsia="宋体" w:cs="Times New Roman"/>
                <w:b/>
                <w:sz w:val="24"/>
                <w:szCs w:val="24"/>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04" w:type="dxa"/>
            <w:vAlign w:val="center"/>
          </w:tcPr>
          <w:p>
            <w:pPr>
              <w:pStyle w:val="5"/>
              <w:snapToGrid w:val="0"/>
              <w:ind w:firstLine="0"/>
              <w:jc w:val="center"/>
              <w:textAlignment w:val="baseline"/>
              <w:rPr>
                <w:rFonts w:ascii="Times New Roman" w:hAnsi="Times New Roman" w:eastAsia="宋体" w:cs="Times New Roman"/>
                <w:bCs/>
                <w:sz w:val="24"/>
                <w:szCs w:val="24"/>
              </w:rPr>
            </w:pPr>
            <w:r>
              <w:rPr>
                <w:rFonts w:hint="eastAsia" w:ascii="Times New Roman" w:hAnsi="Times New Roman" w:eastAsia="宋体" w:cs="Times New Roman"/>
                <w:bCs/>
                <w:sz w:val="24"/>
                <w:szCs w:val="24"/>
              </w:rPr>
              <w:t>当年预算执行情况</w:t>
            </w:r>
          </w:p>
        </w:tc>
        <w:tc>
          <w:tcPr>
            <w:tcW w:w="2673" w:type="dxa"/>
            <w:vAlign w:val="center"/>
          </w:tcPr>
          <w:p>
            <w:pPr>
              <w:snapToGrid w:val="0"/>
              <w:jc w:val="center"/>
              <w:textAlignment w:val="baseline"/>
              <w:rPr>
                <w:rFonts w:ascii="Times New Roman" w:hAnsi="Times New Roman" w:eastAsia="宋体" w:cs="Times New Roman"/>
                <w:bCs/>
                <w:sz w:val="24"/>
                <w:szCs w:val="24"/>
              </w:rPr>
            </w:pPr>
            <w:r>
              <w:rPr>
                <w:rFonts w:ascii="Times New Roman" w:hAnsi="Times New Roman" w:eastAsia="宋体" w:cs="Times New Roman"/>
                <w:bCs/>
                <w:sz w:val="24"/>
                <w:szCs w:val="24"/>
              </w:rPr>
              <w:t>20.00</w:t>
            </w:r>
          </w:p>
        </w:tc>
        <w:tc>
          <w:tcPr>
            <w:tcW w:w="2808" w:type="dxa"/>
            <w:vAlign w:val="center"/>
          </w:tcPr>
          <w:p>
            <w:pPr>
              <w:snapToGrid w:val="0"/>
              <w:jc w:val="center"/>
              <w:textAlignment w:val="baseline"/>
              <w:rPr>
                <w:rFonts w:ascii="Times New Roman" w:hAnsi="Times New Roman" w:eastAsia="宋体" w:cs="Times New Roman"/>
                <w:bCs/>
                <w:sz w:val="24"/>
                <w:szCs w:val="24"/>
              </w:rPr>
            </w:pPr>
            <w:r>
              <w:rPr>
                <w:rFonts w:ascii="Times New Roman" w:hAnsi="Times New Roman" w:eastAsia="宋体" w:cs="Times New Roman"/>
                <w:bCs/>
                <w:sz w:val="24"/>
                <w:szCs w:val="24"/>
              </w:rPr>
              <w:t>19.23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04" w:type="dxa"/>
            <w:vAlign w:val="center"/>
          </w:tcPr>
          <w:p>
            <w:pPr>
              <w:snapToGrid w:val="0"/>
              <w:jc w:val="center"/>
              <w:textAlignment w:val="baseline"/>
              <w:rPr>
                <w:rFonts w:ascii="Times New Roman" w:hAnsi="Times New Roman" w:eastAsia="宋体" w:cs="Times New Roman"/>
                <w:bCs/>
                <w:sz w:val="24"/>
                <w:szCs w:val="24"/>
              </w:rPr>
            </w:pPr>
            <w:r>
              <w:rPr>
                <w:rFonts w:hint="eastAsia" w:ascii="Times New Roman" w:hAnsi="Times New Roman" w:eastAsia="宋体" w:cs="Times New Roman"/>
                <w:bCs/>
                <w:sz w:val="24"/>
                <w:szCs w:val="24"/>
              </w:rPr>
              <w:t>整体绩效目标实现情况</w:t>
            </w:r>
          </w:p>
        </w:tc>
        <w:tc>
          <w:tcPr>
            <w:tcW w:w="2673" w:type="dxa"/>
            <w:vAlign w:val="center"/>
          </w:tcPr>
          <w:p>
            <w:pPr>
              <w:snapToGrid w:val="0"/>
              <w:jc w:val="center"/>
              <w:textAlignment w:val="baseline"/>
              <w:rPr>
                <w:rFonts w:ascii="Times New Roman" w:hAnsi="Times New Roman" w:eastAsia="宋体" w:cs="Times New Roman"/>
                <w:bCs/>
                <w:sz w:val="24"/>
                <w:szCs w:val="24"/>
              </w:rPr>
            </w:pPr>
            <w:r>
              <w:rPr>
                <w:rFonts w:ascii="Times New Roman" w:hAnsi="Times New Roman" w:eastAsia="宋体" w:cs="Times New Roman"/>
                <w:bCs/>
                <w:sz w:val="24"/>
                <w:szCs w:val="24"/>
              </w:rPr>
              <w:t>60.00</w:t>
            </w:r>
          </w:p>
        </w:tc>
        <w:tc>
          <w:tcPr>
            <w:tcW w:w="2808" w:type="dxa"/>
            <w:vAlign w:val="center"/>
          </w:tcPr>
          <w:p>
            <w:pPr>
              <w:snapToGrid w:val="0"/>
              <w:jc w:val="center"/>
              <w:textAlignment w:val="baseline"/>
              <w:rPr>
                <w:rFonts w:ascii="Times New Roman" w:hAnsi="Times New Roman" w:eastAsia="宋体" w:cs="Times New Roman"/>
                <w:bCs/>
                <w:sz w:val="24"/>
                <w:szCs w:val="24"/>
              </w:rPr>
            </w:pPr>
            <w:r>
              <w:rPr>
                <w:rFonts w:ascii="Times New Roman" w:hAnsi="Times New Roman" w:eastAsia="宋体" w:cs="Times New Roman"/>
                <w:bCs/>
                <w:sz w:val="24"/>
                <w:szCs w:val="24"/>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04" w:type="dxa"/>
            <w:vAlign w:val="center"/>
          </w:tcPr>
          <w:p>
            <w:pPr>
              <w:snapToGrid w:val="0"/>
              <w:jc w:val="center"/>
              <w:textAlignment w:val="baseline"/>
              <w:rPr>
                <w:rFonts w:ascii="Times New Roman" w:hAnsi="Times New Roman" w:eastAsia="宋体" w:cs="Times New Roman"/>
                <w:bCs/>
                <w:sz w:val="24"/>
                <w:szCs w:val="24"/>
              </w:rPr>
            </w:pPr>
            <w:r>
              <w:rPr>
                <w:rFonts w:hint="eastAsia" w:ascii="Times New Roman" w:hAnsi="Times New Roman" w:eastAsia="宋体" w:cs="Times New Roman"/>
                <w:bCs/>
                <w:sz w:val="24"/>
                <w:szCs w:val="24"/>
              </w:rPr>
              <w:t>预算管理情况</w:t>
            </w:r>
          </w:p>
        </w:tc>
        <w:tc>
          <w:tcPr>
            <w:tcW w:w="2673" w:type="dxa"/>
            <w:vAlign w:val="center"/>
          </w:tcPr>
          <w:p>
            <w:pPr>
              <w:snapToGrid w:val="0"/>
              <w:jc w:val="center"/>
              <w:textAlignment w:val="baseline"/>
              <w:rPr>
                <w:rFonts w:ascii="Times New Roman" w:hAnsi="Times New Roman" w:eastAsia="宋体" w:cs="Times New Roman"/>
                <w:bCs/>
                <w:sz w:val="24"/>
                <w:szCs w:val="24"/>
              </w:rPr>
            </w:pPr>
            <w:r>
              <w:rPr>
                <w:rFonts w:ascii="Times New Roman" w:hAnsi="Times New Roman" w:eastAsia="宋体" w:cs="Times New Roman"/>
                <w:bCs/>
                <w:sz w:val="24"/>
                <w:szCs w:val="24"/>
              </w:rPr>
              <w:t>20.00</w:t>
            </w:r>
          </w:p>
        </w:tc>
        <w:tc>
          <w:tcPr>
            <w:tcW w:w="2808" w:type="dxa"/>
            <w:vAlign w:val="center"/>
          </w:tcPr>
          <w:p>
            <w:pPr>
              <w:snapToGrid w:val="0"/>
              <w:jc w:val="center"/>
              <w:textAlignment w:val="baseline"/>
              <w:rPr>
                <w:rFonts w:ascii="Times New Roman" w:hAnsi="Times New Roman" w:eastAsia="宋体" w:cs="Times New Roman"/>
                <w:bCs/>
                <w:sz w:val="24"/>
                <w:szCs w:val="24"/>
              </w:rPr>
            </w:pPr>
            <w:r>
              <w:rPr>
                <w:rFonts w:ascii="Times New Roman" w:hAnsi="Times New Roman" w:eastAsia="宋体" w:cs="Times New Roman"/>
                <w:bCs/>
                <w:sz w:val="24"/>
                <w:szCs w:val="24"/>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77" w:hRule="atLeast"/>
          <w:jc w:val="center"/>
        </w:trPr>
        <w:tc>
          <w:tcPr>
            <w:tcW w:w="3004" w:type="dxa"/>
            <w:vAlign w:val="center"/>
          </w:tcPr>
          <w:p>
            <w:pPr>
              <w:snapToGrid w:val="0"/>
              <w:jc w:val="center"/>
              <w:textAlignment w:val="baseline"/>
              <w:rPr>
                <w:rFonts w:ascii="Times New Roman" w:hAnsi="Times New Roman" w:eastAsia="宋体" w:cs="Times New Roman"/>
                <w:bCs/>
                <w:sz w:val="24"/>
                <w:szCs w:val="24"/>
              </w:rPr>
            </w:pPr>
            <w:r>
              <w:rPr>
                <w:rFonts w:hint="eastAsia" w:ascii="Times New Roman" w:hAnsi="Times New Roman" w:eastAsia="宋体" w:cs="Times New Roman"/>
                <w:bCs/>
                <w:sz w:val="24"/>
                <w:szCs w:val="24"/>
              </w:rPr>
              <w:t>总分合计</w:t>
            </w:r>
          </w:p>
        </w:tc>
        <w:tc>
          <w:tcPr>
            <w:tcW w:w="2673" w:type="dxa"/>
            <w:vAlign w:val="center"/>
          </w:tcPr>
          <w:p>
            <w:pPr>
              <w:snapToGrid w:val="0"/>
              <w:jc w:val="center"/>
              <w:textAlignment w:val="baseline"/>
              <w:rPr>
                <w:rFonts w:ascii="Times New Roman" w:hAnsi="Times New Roman" w:eastAsia="宋体" w:cs="Times New Roman"/>
                <w:bCs/>
                <w:sz w:val="24"/>
                <w:szCs w:val="24"/>
              </w:rPr>
            </w:pPr>
            <w:r>
              <w:rPr>
                <w:rFonts w:ascii="Times New Roman" w:hAnsi="Times New Roman" w:eastAsia="宋体" w:cs="Times New Roman"/>
                <w:bCs/>
                <w:sz w:val="24"/>
                <w:szCs w:val="24"/>
              </w:rPr>
              <w:t>100.00</w:t>
            </w:r>
          </w:p>
        </w:tc>
        <w:tc>
          <w:tcPr>
            <w:tcW w:w="2808" w:type="dxa"/>
            <w:vAlign w:val="center"/>
          </w:tcPr>
          <w:p>
            <w:pPr>
              <w:snapToGrid w:val="0"/>
              <w:jc w:val="center"/>
              <w:textAlignment w:val="baseline"/>
              <w:rPr>
                <w:rFonts w:ascii="Times New Roman" w:hAnsi="Times New Roman" w:cs="Times New Roman"/>
              </w:rPr>
            </w:pPr>
            <w:r>
              <w:rPr>
                <w:rFonts w:ascii="Times New Roman" w:hAnsi="Times New Roman" w:eastAsia="宋体" w:cs="Times New Roman"/>
                <w:bCs/>
                <w:sz w:val="24"/>
                <w:szCs w:val="24"/>
              </w:rPr>
              <w:t>94.23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04" w:type="dxa"/>
            <w:vAlign w:val="center"/>
          </w:tcPr>
          <w:p>
            <w:pPr>
              <w:snapToGrid w:val="0"/>
              <w:jc w:val="center"/>
              <w:textAlignment w:val="baseline"/>
              <w:rPr>
                <w:rFonts w:ascii="Times New Roman" w:hAnsi="Times New Roman" w:eastAsia="宋体" w:cs="Times New Roman"/>
                <w:bCs/>
                <w:sz w:val="24"/>
                <w:szCs w:val="24"/>
              </w:rPr>
            </w:pPr>
            <w:r>
              <w:rPr>
                <w:rFonts w:hint="eastAsia" w:ascii="Times New Roman" w:hAnsi="Times New Roman" w:eastAsia="宋体" w:cs="Times New Roman"/>
                <w:bCs/>
                <w:sz w:val="24"/>
                <w:szCs w:val="24"/>
              </w:rPr>
              <w:t>评定等级</w:t>
            </w:r>
          </w:p>
        </w:tc>
        <w:tc>
          <w:tcPr>
            <w:tcW w:w="5481" w:type="dxa"/>
            <w:gridSpan w:val="2"/>
            <w:vAlign w:val="center"/>
          </w:tcPr>
          <w:p>
            <w:pPr>
              <w:snapToGrid w:val="0"/>
              <w:jc w:val="center"/>
              <w:textAlignment w:val="baseline"/>
              <w:rPr>
                <w:rFonts w:ascii="Times New Roman" w:hAnsi="Times New Roman" w:eastAsia="宋体" w:cs="Times New Roman"/>
                <w:bCs/>
                <w:sz w:val="24"/>
                <w:szCs w:val="24"/>
              </w:rPr>
            </w:pPr>
            <w:r>
              <w:rPr>
                <w:rFonts w:hint="eastAsia" w:ascii="Times New Roman" w:hAnsi="Times New Roman" w:eastAsia="宋体" w:cs="Times New Roman"/>
                <w:bCs/>
                <w:sz w:val="24"/>
                <w:szCs w:val="24"/>
              </w:rPr>
              <w:t>优</w:t>
            </w:r>
          </w:p>
        </w:tc>
      </w:tr>
    </w:tbl>
    <w:p>
      <w:pPr>
        <w:adjustRightInd w:val="0"/>
        <w:snapToGrid w:val="0"/>
        <w:spacing w:after="0" w:afterLines="0" w:line="540" w:lineRule="exact"/>
        <w:ind w:firstLine="640" w:firstLineChars="200"/>
        <w:textAlignment w:val="baseline"/>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绩效评价表明，市政府外办围绕部门职能和年度工作任务抓好项目实施，决策依据充分，决策过程规范；预算执行良好，绩效管理有力；产出成果明显，社会效益显著；实现了</w:t>
      </w:r>
      <w:r>
        <w:rPr>
          <w:rFonts w:ascii="Times New Roman" w:hAnsi="Times New Roman" w:eastAsia="仿宋_GB2312" w:cs="Times New Roman"/>
          <w:sz w:val="32"/>
          <w:szCs w:val="32"/>
        </w:rPr>
        <w:t>2024</w:t>
      </w:r>
      <w:r>
        <w:rPr>
          <w:rFonts w:hint="eastAsia" w:ascii="Times New Roman" w:hAnsi="Times New Roman" w:eastAsia="仿宋_GB2312" w:cs="Times New Roman"/>
          <w:sz w:val="32"/>
          <w:szCs w:val="32"/>
        </w:rPr>
        <w:t>年部门整体绩效目标</w:t>
      </w:r>
      <w:r>
        <w:rPr>
          <w:rFonts w:ascii="Times New Roman" w:hAnsi="Times New Roman" w:eastAsia="仿宋_GB2312" w:cs="Times New Roman"/>
          <w:sz w:val="32"/>
          <w:szCs w:val="32"/>
        </w:rPr>
        <w:t>。</w:t>
      </w:r>
    </w:p>
    <w:p>
      <w:pPr>
        <w:adjustRightInd w:val="0"/>
        <w:snapToGrid w:val="0"/>
        <w:spacing w:after="0" w:afterLines="0" w:line="540" w:lineRule="exact"/>
        <w:ind w:firstLine="640" w:firstLineChars="200"/>
        <w:textAlignment w:val="baseline"/>
        <w:outlineLvl w:val="1"/>
        <w:rPr>
          <w:rFonts w:ascii="Times New Roman" w:hAnsi="Times New Roman" w:eastAsia="楷体_GB2312" w:cs="Times New Roman"/>
          <w:b w:val="0"/>
          <w:bCs w:val="0"/>
          <w:sz w:val="32"/>
          <w:szCs w:val="32"/>
        </w:rPr>
      </w:pPr>
      <w:bookmarkStart w:id="64" w:name="_Toc23274"/>
      <w:bookmarkStart w:id="65" w:name="_Toc5651"/>
      <w:bookmarkStart w:id="66" w:name="_Toc26844"/>
      <w:bookmarkStart w:id="67" w:name="_Toc3164"/>
      <w:r>
        <w:rPr>
          <w:rFonts w:hint="eastAsia" w:ascii="Times New Roman" w:hAnsi="Times New Roman" w:eastAsia="楷体_GB2312" w:cs="Times New Roman"/>
          <w:b w:val="0"/>
          <w:bCs w:val="0"/>
          <w:sz w:val="32"/>
          <w:szCs w:val="32"/>
        </w:rPr>
        <w:t>（二）存在的问题及原因分析</w:t>
      </w:r>
      <w:bookmarkEnd w:id="64"/>
      <w:bookmarkEnd w:id="65"/>
      <w:bookmarkEnd w:id="66"/>
      <w:bookmarkEnd w:id="67"/>
    </w:p>
    <w:p>
      <w:pPr>
        <w:pStyle w:val="15"/>
        <w:widowControl/>
        <w:adjustRightInd/>
        <w:snapToGrid/>
        <w:spacing w:after="0" w:afterLines="0" w:line="540" w:lineRule="exact"/>
        <w:ind w:firstLine="640" w:firstLineChars="200"/>
        <w:rPr>
          <w:rFonts w:ascii="Times New Roman" w:hAnsi="Times New Roman" w:eastAsia="仿宋_GB2312" w:cs="Times New Roman"/>
          <w:b/>
          <w:bCs/>
          <w:kern w:val="0"/>
          <w:sz w:val="32"/>
          <w:szCs w:val="32"/>
        </w:rPr>
      </w:pPr>
      <w:r>
        <w:rPr>
          <w:rFonts w:hint="eastAsia" w:ascii="楷体_GB2312" w:hAnsi="楷体_GB2312" w:eastAsia="楷体_GB2312" w:cs="楷体_GB2312"/>
          <w:b w:val="0"/>
          <w:bCs w:val="0"/>
          <w:kern w:val="2"/>
          <w:sz w:val="32"/>
          <w:szCs w:val="32"/>
          <w:lang w:val="en-US" w:eastAsia="zh-CN" w:bidi="ar-SA"/>
        </w:rPr>
        <w:t>一是</w:t>
      </w:r>
      <w:r>
        <w:rPr>
          <w:rFonts w:hint="default" w:ascii="楷体_GB2312" w:hAnsi="楷体_GB2312" w:eastAsia="楷体_GB2312" w:cs="楷体_GB2312"/>
          <w:b w:val="0"/>
          <w:bCs w:val="0"/>
          <w:kern w:val="2"/>
          <w:sz w:val="32"/>
          <w:szCs w:val="32"/>
          <w:lang w:val="en-US" w:eastAsia="zh-CN" w:bidi="ar-SA"/>
        </w:rPr>
        <w:t>绩效指标设置的规范性仍需提高</w:t>
      </w:r>
      <w:r>
        <w:rPr>
          <w:rFonts w:hint="eastAsia" w:ascii="楷体_GB2312" w:hAnsi="楷体_GB2312" w:eastAsia="楷体_GB2312" w:cs="楷体_GB2312"/>
          <w:b w:val="0"/>
          <w:bCs w:val="0"/>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存在</w:t>
      </w:r>
      <w:r>
        <w:rPr>
          <w:rFonts w:hint="default" w:ascii="Times New Roman" w:hAnsi="Times New Roman" w:eastAsia="仿宋_GB2312" w:cs="Times New Roman"/>
          <w:color w:val="auto"/>
          <w:kern w:val="2"/>
          <w:sz w:val="32"/>
          <w:szCs w:val="32"/>
          <w:lang w:val="en-US" w:eastAsia="zh-CN" w:bidi="ar-SA"/>
        </w:rPr>
        <w:t>符合时效指标、满意度指标设置条件，但未设置相应指标</w:t>
      </w:r>
      <w:r>
        <w:rPr>
          <w:rFonts w:hint="eastAsia" w:ascii="Times New Roman" w:hAnsi="Times New Roman" w:eastAsia="仿宋_GB2312" w:cs="Times New Roman"/>
          <w:color w:val="auto"/>
          <w:kern w:val="2"/>
          <w:sz w:val="32"/>
          <w:szCs w:val="32"/>
          <w:lang w:val="en-US" w:eastAsia="zh-CN" w:bidi="ar-SA"/>
        </w:rPr>
        <w:t>的情况；</w:t>
      </w:r>
      <w:r>
        <w:rPr>
          <w:rFonts w:hint="default" w:ascii="Times New Roman" w:hAnsi="Times New Roman" w:eastAsia="仿宋_GB2312" w:cs="Times New Roman"/>
          <w:color w:val="auto"/>
          <w:kern w:val="2"/>
          <w:sz w:val="32"/>
          <w:szCs w:val="32"/>
          <w:lang w:val="en-US" w:eastAsia="zh-CN" w:bidi="ar-SA"/>
        </w:rPr>
        <w:t>定性指标相对偏多，</w:t>
      </w:r>
      <w:r>
        <w:rPr>
          <w:rFonts w:hint="eastAsia" w:ascii="Times New Roman" w:hAnsi="Times New Roman" w:eastAsia="仿宋_GB2312" w:cs="Times New Roman"/>
          <w:color w:val="auto"/>
          <w:kern w:val="2"/>
          <w:sz w:val="32"/>
          <w:szCs w:val="32"/>
          <w:lang w:val="en-US" w:eastAsia="zh-CN" w:bidi="ar-SA"/>
        </w:rPr>
        <w:t>可衡量性不足，缺乏针对性佐证依据，无法准确评价</w:t>
      </w:r>
      <w:r>
        <w:rPr>
          <w:rFonts w:hint="default" w:ascii="Times New Roman" w:hAnsi="Times New Roman" w:eastAsia="仿宋_GB2312" w:cs="Times New Roman"/>
          <w:color w:val="auto"/>
          <w:kern w:val="2"/>
          <w:sz w:val="32"/>
          <w:szCs w:val="32"/>
          <w:lang w:val="en-US" w:eastAsia="zh-CN" w:bidi="ar-SA"/>
        </w:rPr>
        <w:t>。</w:t>
      </w:r>
    </w:p>
    <w:p>
      <w:pPr>
        <w:spacing w:after="0" w:afterLines="0" w:line="540" w:lineRule="exact"/>
        <w:ind w:firstLine="640" w:firstLineChars="200"/>
        <w:rPr>
          <w:rFonts w:asciiTheme="minorHAnsi" w:hAnsiTheme="minorHAnsi" w:eastAsiaTheme="minorEastAsia" w:cstheme="minorBidi"/>
          <w:sz w:val="21"/>
          <w:szCs w:val="21"/>
        </w:rPr>
      </w:pPr>
      <w:r>
        <w:rPr>
          <w:rFonts w:hint="eastAsia" w:ascii="楷体_GB2312" w:hAnsi="楷体_GB2312" w:eastAsia="楷体_GB2312" w:cs="楷体_GB2312"/>
          <w:b w:val="0"/>
          <w:bCs w:val="0"/>
          <w:kern w:val="2"/>
          <w:sz w:val="32"/>
          <w:szCs w:val="32"/>
          <w:lang w:eastAsia="zh-CN"/>
        </w:rPr>
        <w:t>二</w:t>
      </w:r>
      <w:r>
        <w:rPr>
          <w:rFonts w:hint="eastAsia" w:ascii="楷体_GB2312" w:hAnsi="楷体_GB2312" w:eastAsia="楷体_GB2312" w:cs="楷体_GB2312"/>
          <w:b w:val="0"/>
          <w:bCs w:val="0"/>
          <w:kern w:val="2"/>
          <w:sz w:val="32"/>
          <w:szCs w:val="32"/>
        </w:rPr>
        <w:t>是</w:t>
      </w:r>
      <w:r>
        <w:rPr>
          <w:rFonts w:hint="default" w:ascii="楷体_GB2312" w:hAnsi="楷体_GB2312" w:eastAsia="楷体_GB2312" w:cs="楷体_GB2312"/>
          <w:b w:val="0"/>
          <w:bCs w:val="0"/>
          <w:kern w:val="2"/>
          <w:sz w:val="32"/>
          <w:szCs w:val="32"/>
          <w:lang w:eastAsia="zh-CN"/>
        </w:rPr>
        <w:t>责任部门</w:t>
      </w:r>
      <w:r>
        <w:rPr>
          <w:rFonts w:hint="default" w:ascii="楷体_GB2312" w:hAnsi="楷体_GB2312" w:eastAsia="楷体_GB2312" w:cs="楷体_GB2312"/>
          <w:b w:val="0"/>
          <w:bCs w:val="0"/>
          <w:kern w:val="2"/>
          <w:sz w:val="32"/>
          <w:szCs w:val="32"/>
          <w:lang w:val="en-US" w:eastAsia="zh-CN"/>
        </w:rPr>
        <w:t>项目管理机制有待</w:t>
      </w:r>
      <w:r>
        <w:rPr>
          <w:rFonts w:hint="eastAsia" w:ascii="楷体_GB2312" w:hAnsi="楷体_GB2312" w:eastAsia="楷体_GB2312" w:cs="楷体_GB2312"/>
          <w:b w:val="0"/>
          <w:bCs w:val="0"/>
          <w:kern w:val="2"/>
          <w:sz w:val="32"/>
          <w:szCs w:val="32"/>
          <w:lang w:val="en-US" w:eastAsia="zh-CN"/>
        </w:rPr>
        <w:t>完善。</w:t>
      </w:r>
      <w:r>
        <w:rPr>
          <w:rFonts w:hint="eastAsia" w:ascii="Times New Roman" w:hAnsi="Times New Roman" w:eastAsia="仿宋_GB2312" w:cs="Times New Roman"/>
          <w:color w:val="auto"/>
          <w:kern w:val="2"/>
          <w:sz w:val="32"/>
          <w:szCs w:val="32"/>
          <w:lang w:val="en-US" w:eastAsia="zh-CN" w:bidi="ar-SA"/>
        </w:rPr>
        <w:t>实施</w:t>
      </w:r>
      <w:r>
        <w:rPr>
          <w:rFonts w:hint="default" w:ascii="Times New Roman" w:hAnsi="Times New Roman" w:eastAsia="仿宋_GB2312" w:cs="Times New Roman"/>
          <w:color w:val="auto"/>
          <w:kern w:val="2"/>
          <w:sz w:val="32"/>
          <w:szCs w:val="32"/>
          <w:lang w:val="en-US" w:eastAsia="zh-CN" w:bidi="ar-SA"/>
        </w:rPr>
        <w:t>方案和项目管理制度</w:t>
      </w:r>
      <w:r>
        <w:rPr>
          <w:rFonts w:hint="eastAsia" w:ascii="Times New Roman" w:hAnsi="Times New Roman" w:eastAsia="仿宋_GB2312" w:cs="Times New Roman"/>
          <w:color w:val="auto"/>
          <w:kern w:val="2"/>
          <w:sz w:val="32"/>
          <w:szCs w:val="32"/>
          <w:lang w:val="en-US" w:eastAsia="zh-CN" w:bidi="ar-SA"/>
        </w:rPr>
        <w:t>需进一步完善；</w:t>
      </w:r>
      <w:r>
        <w:rPr>
          <w:rFonts w:hint="eastAsia" w:ascii="Times New Roman" w:hAnsi="Times New Roman" w:eastAsia="仿宋_GB2312" w:cs="Times New Roman"/>
          <w:color w:val="auto"/>
          <w:sz w:val="32"/>
          <w:szCs w:val="32"/>
          <w:lang w:eastAsia="zh-CN"/>
        </w:rPr>
        <w:t>项目验收的精细化水平仍需提高；</w:t>
      </w:r>
      <w:r>
        <w:rPr>
          <w:rFonts w:hint="default" w:ascii="Times New Roman" w:hAnsi="Times New Roman" w:eastAsia="仿宋_GB2312" w:cs="Times New Roman"/>
          <w:color w:val="auto"/>
          <w:sz w:val="32"/>
          <w:szCs w:val="32"/>
          <w:lang w:eastAsia="zh-CN"/>
        </w:rPr>
        <w:t>项目资料，特别是绩效相关资料的归集整理还不够完善</w:t>
      </w:r>
      <w:r>
        <w:rPr>
          <w:rFonts w:hint="default" w:ascii="Times New Roman" w:hAnsi="Times New Roman" w:eastAsia="仿宋_GB2312" w:cs="Times New Roman"/>
          <w:color w:val="auto"/>
          <w:sz w:val="32"/>
          <w:szCs w:val="32"/>
        </w:rPr>
        <w:t>。</w:t>
      </w:r>
    </w:p>
    <w:p>
      <w:pPr>
        <w:adjustRightInd w:val="0"/>
        <w:snapToGrid w:val="0"/>
        <w:spacing w:after="0" w:afterLines="0" w:line="540" w:lineRule="exact"/>
        <w:ind w:firstLine="640" w:firstLineChars="200"/>
        <w:textAlignment w:val="baseline"/>
        <w:outlineLvl w:val="0"/>
        <w:rPr>
          <w:rFonts w:ascii="Times New Roman" w:hAnsi="Times New Roman" w:eastAsia="黑体" w:cs="Times New Roman"/>
          <w:sz w:val="32"/>
          <w:szCs w:val="32"/>
        </w:rPr>
      </w:pPr>
      <w:bookmarkStart w:id="68" w:name="_Toc9365"/>
      <w:bookmarkStart w:id="69" w:name="_Toc22090"/>
      <w:bookmarkStart w:id="70" w:name="_Toc22084"/>
      <w:bookmarkStart w:id="71" w:name="_Toc20952"/>
      <w:r>
        <w:rPr>
          <w:rFonts w:hint="eastAsia" w:ascii="Times New Roman" w:hAnsi="Times New Roman" w:eastAsia="黑体" w:cs="Times New Roman"/>
          <w:color w:val="000000"/>
          <w:kern w:val="0"/>
          <w:sz w:val="32"/>
          <w:szCs w:val="32"/>
        </w:rPr>
        <w:t>六、措施建议</w:t>
      </w:r>
      <w:bookmarkEnd w:id="68"/>
      <w:bookmarkEnd w:id="69"/>
      <w:bookmarkEnd w:id="70"/>
      <w:bookmarkEnd w:id="71"/>
    </w:p>
    <w:p>
      <w:pPr>
        <w:adjustRightInd w:val="0"/>
        <w:snapToGrid w:val="0"/>
        <w:spacing w:after="0" w:afterLines="0" w:line="540" w:lineRule="exact"/>
        <w:ind w:firstLine="640" w:firstLineChars="200"/>
        <w:textAlignment w:val="baseline"/>
        <w:outlineLvl w:val="1"/>
        <w:rPr>
          <w:rFonts w:hint="eastAsia" w:ascii="Times New Roman" w:hAnsi="Times New Roman" w:eastAsia="仿宋_GB2312" w:cs="Times New Roman"/>
          <w:kern w:val="2"/>
          <w:sz w:val="32"/>
          <w:szCs w:val="32"/>
          <w:lang w:eastAsia="zh-CN"/>
        </w:rPr>
      </w:pPr>
      <w:r>
        <w:rPr>
          <w:rFonts w:hint="eastAsia" w:ascii="楷体_GB2312" w:hAnsi="楷体_GB2312" w:eastAsia="楷体_GB2312" w:cs="楷体_GB2312"/>
          <w:b w:val="0"/>
          <w:bCs w:val="0"/>
          <w:kern w:val="2"/>
          <w:sz w:val="32"/>
          <w:szCs w:val="32"/>
          <w:lang w:eastAsia="zh-CN"/>
        </w:rPr>
        <w:t>一是全面准确</w:t>
      </w:r>
      <w:r>
        <w:rPr>
          <w:rFonts w:hint="eastAsia" w:ascii="楷体_GB2312" w:hAnsi="楷体_GB2312" w:eastAsia="楷体_GB2312" w:cs="楷体_GB2312"/>
          <w:b w:val="0"/>
          <w:bCs w:val="0"/>
          <w:kern w:val="2"/>
          <w:sz w:val="32"/>
          <w:szCs w:val="32"/>
        </w:rPr>
        <w:t>设定绩效指标</w:t>
      </w:r>
      <w:r>
        <w:rPr>
          <w:rFonts w:hint="eastAsia" w:ascii="楷体_GB2312" w:hAnsi="楷体_GB2312" w:eastAsia="楷体_GB2312" w:cs="楷体_GB2312"/>
          <w:b w:val="0"/>
          <w:bCs w:val="0"/>
          <w:kern w:val="2"/>
          <w:sz w:val="32"/>
          <w:szCs w:val="32"/>
          <w:lang w:eastAsia="zh-CN"/>
        </w:rPr>
        <w:t>。</w:t>
      </w:r>
      <w:r>
        <w:rPr>
          <w:rFonts w:hint="eastAsia" w:ascii="Times New Roman" w:hAnsi="Times New Roman" w:eastAsia="仿宋_GB2312" w:cs="Times New Roman"/>
          <w:kern w:val="2"/>
          <w:sz w:val="32"/>
          <w:szCs w:val="32"/>
        </w:rPr>
        <w:t>加强目标导向意识，</w:t>
      </w:r>
      <w:r>
        <w:rPr>
          <w:rFonts w:hint="eastAsia" w:ascii="Times New Roman" w:hAnsi="Times New Roman" w:eastAsia="仿宋_GB2312" w:cs="Times New Roman"/>
          <w:sz w:val="32"/>
          <w:szCs w:val="32"/>
        </w:rPr>
        <w:t>进一步梳理项目的预期产出和效果，充分挖掘并细化量化效益指标，</w:t>
      </w:r>
      <w:r>
        <w:rPr>
          <w:rFonts w:hint="eastAsia" w:ascii="Times New Roman" w:hAnsi="Times New Roman" w:eastAsia="仿宋_GB2312" w:cs="Times New Roman"/>
          <w:kern w:val="2"/>
          <w:sz w:val="32"/>
          <w:szCs w:val="32"/>
        </w:rPr>
        <w:t>科学填报项目总体目标及各项绩效指标，预算调整后及时调整绩效目标</w:t>
      </w:r>
      <w:bookmarkStart w:id="72" w:name="_Toc61602328"/>
      <w:bookmarkStart w:id="73" w:name="_Toc61602289"/>
      <w:bookmarkStart w:id="74" w:name="_Toc61602479"/>
      <w:r>
        <w:rPr>
          <w:rFonts w:hint="eastAsia" w:ascii="Times New Roman" w:hAnsi="Times New Roman" w:eastAsia="仿宋_GB2312" w:cs="Times New Roman"/>
          <w:sz w:val="32"/>
          <w:szCs w:val="32"/>
        </w:rPr>
        <w:t>。</w:t>
      </w:r>
      <w:bookmarkEnd w:id="72"/>
      <w:bookmarkEnd w:id="73"/>
      <w:bookmarkEnd w:id="74"/>
    </w:p>
    <w:p>
      <w:pPr>
        <w:adjustRightInd w:val="0"/>
        <w:snapToGrid w:val="0"/>
        <w:spacing w:after="0" w:afterLines="0" w:line="540" w:lineRule="exact"/>
        <w:ind w:firstLine="640" w:firstLineChars="200"/>
        <w:textAlignment w:val="baseline"/>
        <w:outlineLvl w:val="1"/>
        <w:rPr>
          <w:rFonts w:hint="eastAsia" w:ascii="Times New Roman" w:hAnsi="Times New Roman" w:eastAsia="仿宋_GB2312" w:cs="Times New Roman"/>
          <w:kern w:val="2"/>
          <w:sz w:val="32"/>
          <w:szCs w:val="32"/>
        </w:rPr>
      </w:pPr>
      <w:r>
        <w:rPr>
          <w:rFonts w:hint="eastAsia" w:ascii="楷体_GB2312" w:hAnsi="楷体_GB2312" w:eastAsia="楷体_GB2312" w:cs="楷体_GB2312"/>
          <w:b w:val="0"/>
          <w:bCs w:val="0"/>
          <w:kern w:val="2"/>
          <w:sz w:val="32"/>
          <w:szCs w:val="32"/>
        </w:rPr>
        <w:t>二是强化绩效管理意识</w:t>
      </w:r>
      <w:r>
        <w:rPr>
          <w:rFonts w:hint="eastAsia" w:ascii="楷体_GB2312" w:hAnsi="楷体_GB2312" w:eastAsia="楷体_GB2312" w:cs="楷体_GB2312"/>
          <w:b w:val="0"/>
          <w:bCs w:val="0"/>
          <w:kern w:val="2"/>
          <w:sz w:val="32"/>
          <w:szCs w:val="32"/>
          <w:lang w:eastAsia="zh-CN"/>
        </w:rPr>
        <w:t>。</w:t>
      </w:r>
      <w:r>
        <w:rPr>
          <w:rFonts w:hint="eastAsia" w:ascii="仿宋_GB2312" w:hAnsi="仿宋_GB2312" w:eastAsia="仿宋_GB2312" w:cs="仿宋_GB2312"/>
          <w:b w:val="0"/>
          <w:bCs w:val="0"/>
          <w:kern w:val="2"/>
          <w:sz w:val="32"/>
          <w:szCs w:val="32"/>
          <w:lang w:eastAsia="zh-CN"/>
        </w:rPr>
        <w:t>进一步</w:t>
      </w:r>
      <w:r>
        <w:rPr>
          <w:rFonts w:hint="eastAsia" w:ascii="Times New Roman" w:hAnsi="Times New Roman" w:eastAsia="仿宋_GB2312" w:cs="Times New Roman"/>
          <w:color w:val="auto"/>
          <w:sz w:val="32"/>
          <w:szCs w:val="32"/>
          <w:lang w:eastAsia="zh-CN"/>
        </w:rPr>
        <w:t>建立健全项目实施方案及相关制度，</w:t>
      </w:r>
      <w:r>
        <w:rPr>
          <w:rFonts w:hint="eastAsia" w:ascii="仿宋_GB2312" w:hAnsi="仿宋_GB2312" w:eastAsia="仿宋_GB2312" w:cs="仿宋_GB2312"/>
          <w:b w:val="0"/>
          <w:bCs w:val="0"/>
          <w:kern w:val="2"/>
          <w:sz w:val="32"/>
          <w:szCs w:val="32"/>
          <w:lang w:eastAsia="zh-CN"/>
        </w:rPr>
        <w:t>加强对</w:t>
      </w:r>
      <w:r>
        <w:rPr>
          <w:rFonts w:hint="default" w:ascii="Times New Roman" w:hAnsi="Times New Roman" w:eastAsia="仿宋_GB2312" w:cs="Times New Roman"/>
          <w:color w:val="auto"/>
          <w:kern w:val="2"/>
          <w:sz w:val="32"/>
          <w:szCs w:val="32"/>
          <w:lang w:val="en-US" w:eastAsia="zh-CN" w:bidi="ar-SA"/>
        </w:rPr>
        <w:t>第三方承接机构的监督管理，</w:t>
      </w:r>
      <w:r>
        <w:rPr>
          <w:rFonts w:hint="eastAsia" w:ascii="Times New Roman" w:hAnsi="Times New Roman" w:eastAsia="仿宋_GB2312" w:cs="Times New Roman"/>
          <w:kern w:val="2"/>
          <w:sz w:val="32"/>
          <w:szCs w:val="32"/>
        </w:rPr>
        <w:t>注重项目</w:t>
      </w:r>
      <w:r>
        <w:rPr>
          <w:rFonts w:hint="eastAsia" w:ascii="Times New Roman" w:hAnsi="Times New Roman" w:eastAsia="仿宋_GB2312" w:cs="Times New Roman"/>
          <w:kern w:val="2"/>
          <w:sz w:val="32"/>
          <w:szCs w:val="32"/>
          <w:lang w:eastAsia="zh-CN"/>
        </w:rPr>
        <w:t>产出和</w:t>
      </w:r>
      <w:r>
        <w:rPr>
          <w:rFonts w:hint="eastAsia" w:ascii="Times New Roman" w:hAnsi="Times New Roman" w:eastAsia="仿宋_GB2312" w:cs="Times New Roman"/>
          <w:kern w:val="2"/>
          <w:sz w:val="32"/>
          <w:szCs w:val="32"/>
        </w:rPr>
        <w:t>效益资料收集和呈现，</w:t>
      </w:r>
      <w:r>
        <w:rPr>
          <w:rFonts w:hint="eastAsia" w:ascii="Times New Roman" w:hAnsi="Times New Roman" w:eastAsia="仿宋_GB2312" w:cs="Times New Roman"/>
          <w:kern w:val="2"/>
          <w:sz w:val="32"/>
          <w:szCs w:val="32"/>
          <w:lang w:eastAsia="zh-CN"/>
        </w:rPr>
        <w:t>加强</w:t>
      </w:r>
      <w:r>
        <w:rPr>
          <w:rFonts w:hint="eastAsia" w:ascii="Times New Roman" w:hAnsi="Times New Roman" w:eastAsia="仿宋_GB2312" w:cs="Times New Roman"/>
          <w:kern w:val="2"/>
          <w:sz w:val="32"/>
          <w:szCs w:val="32"/>
        </w:rPr>
        <w:t>效果资料和</w:t>
      </w:r>
      <w:r>
        <w:rPr>
          <w:rFonts w:hint="eastAsia" w:ascii="Times New Roman" w:hAnsi="Times New Roman" w:eastAsia="仿宋_GB2312" w:cs="Times New Roman"/>
          <w:kern w:val="2"/>
          <w:sz w:val="32"/>
          <w:szCs w:val="32"/>
          <w:lang w:eastAsia="zh-CN"/>
        </w:rPr>
        <w:t>产出</w:t>
      </w:r>
      <w:r>
        <w:rPr>
          <w:rFonts w:hint="eastAsia" w:ascii="Times New Roman" w:hAnsi="Times New Roman" w:eastAsia="仿宋_GB2312" w:cs="Times New Roman"/>
          <w:kern w:val="2"/>
          <w:sz w:val="32"/>
          <w:szCs w:val="32"/>
        </w:rPr>
        <w:t>数据</w:t>
      </w:r>
      <w:r>
        <w:rPr>
          <w:rFonts w:hint="eastAsia" w:ascii="Times New Roman" w:hAnsi="Times New Roman" w:eastAsia="仿宋_GB2312" w:cs="Times New Roman"/>
          <w:kern w:val="2"/>
          <w:sz w:val="32"/>
          <w:szCs w:val="32"/>
          <w:lang w:eastAsia="zh-CN"/>
        </w:rPr>
        <w:t>的分析</w:t>
      </w:r>
      <w:r>
        <w:rPr>
          <w:rFonts w:hint="eastAsia" w:ascii="Times New Roman" w:hAnsi="Times New Roman" w:eastAsia="仿宋_GB2312" w:cs="Times New Roman"/>
          <w:kern w:val="2"/>
          <w:sz w:val="32"/>
          <w:szCs w:val="32"/>
        </w:rPr>
        <w:t>运用</w:t>
      </w:r>
      <w:r>
        <w:rPr>
          <w:rFonts w:hint="eastAsia" w:ascii="Times New Roman" w:hAnsi="Times New Roman" w:eastAsia="仿宋_GB2312" w:cs="Times New Roman"/>
          <w:kern w:val="2"/>
          <w:sz w:val="32"/>
          <w:szCs w:val="32"/>
          <w:lang w:eastAsia="zh-CN"/>
        </w:rPr>
        <w:t>，</w:t>
      </w:r>
      <w:r>
        <w:rPr>
          <w:rFonts w:hint="eastAsia" w:ascii="Times New Roman" w:hAnsi="Times New Roman" w:eastAsia="仿宋_GB2312" w:cs="Times New Roman"/>
          <w:kern w:val="2"/>
          <w:sz w:val="32"/>
          <w:szCs w:val="32"/>
        </w:rPr>
        <w:t>充分发挥绩效评价结果</w:t>
      </w:r>
      <w:r>
        <w:rPr>
          <w:rFonts w:hint="eastAsia" w:ascii="Times New Roman" w:hAnsi="Times New Roman" w:eastAsia="仿宋_GB2312" w:cs="Times New Roman"/>
          <w:kern w:val="2"/>
          <w:sz w:val="32"/>
          <w:szCs w:val="32"/>
          <w:lang w:eastAsia="zh-CN"/>
        </w:rPr>
        <w:t>的</w:t>
      </w:r>
      <w:r>
        <w:rPr>
          <w:rFonts w:hint="eastAsia" w:ascii="Times New Roman" w:hAnsi="Times New Roman" w:eastAsia="仿宋_GB2312" w:cs="Times New Roman"/>
          <w:kern w:val="2"/>
          <w:sz w:val="32"/>
          <w:szCs w:val="32"/>
        </w:rPr>
        <w:t>导向性作用，提升财政资金使用</w:t>
      </w:r>
      <w:r>
        <w:rPr>
          <w:rFonts w:hint="eastAsia" w:ascii="Times New Roman" w:hAnsi="Times New Roman" w:eastAsia="仿宋_GB2312" w:cs="Times New Roman"/>
          <w:kern w:val="2"/>
          <w:sz w:val="32"/>
          <w:szCs w:val="32"/>
          <w:lang w:eastAsia="zh-CN"/>
        </w:rPr>
        <w:t>质</w:t>
      </w:r>
      <w:r>
        <w:rPr>
          <w:rFonts w:hint="eastAsia" w:ascii="Times New Roman" w:hAnsi="Times New Roman" w:eastAsia="仿宋_GB2312" w:cs="Times New Roman"/>
          <w:kern w:val="2"/>
          <w:sz w:val="32"/>
          <w:szCs w:val="32"/>
        </w:rPr>
        <w:t>效。</w:t>
      </w:r>
    </w:p>
    <w:p>
      <w:pPr>
        <w:pStyle w:val="2"/>
      </w:pPr>
    </w:p>
    <w:p>
      <w:pPr>
        <w:adjustRightInd w:val="0"/>
        <w:snapToGrid w:val="0"/>
        <w:spacing w:after="0" w:afterLines="0" w:line="540" w:lineRule="exact"/>
        <w:ind w:firstLine="640" w:firstLineChars="200"/>
        <w:jc w:val="left"/>
        <w:textAlignment w:val="baseline"/>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w:t>
      </w:r>
      <w:r>
        <w:rPr>
          <w:rFonts w:ascii="Times New Roman" w:hAnsi="Times New Roman" w:eastAsia="仿宋_GB2312" w:cs="Times New Roman"/>
          <w:sz w:val="32"/>
          <w:szCs w:val="32"/>
        </w:rPr>
        <w:t>2024年部门整体绩效评价指标体系评分表</w:t>
      </w:r>
      <w:bookmarkStart w:id="75" w:name="_Toc20717"/>
    </w:p>
    <w:p>
      <w:pPr>
        <w:pStyle w:val="2"/>
      </w:pPr>
    </w:p>
    <w:p>
      <w:pPr>
        <w:adjustRightInd w:val="0"/>
        <w:snapToGrid w:val="0"/>
        <w:spacing w:after="0" w:afterLines="0" w:line="540" w:lineRule="exact"/>
        <w:ind w:firstLine="640" w:firstLineChars="200"/>
        <w:jc w:val="both"/>
        <w:textAlignment w:val="baseline"/>
        <w:rPr>
          <w:rFonts w:ascii="Times New Roman" w:hAnsi="Times New Roman" w:eastAsia="仿宋_GB2312" w:cs="Times New Roman"/>
          <w:bCs/>
          <w:kern w:val="44"/>
          <w:sz w:val="32"/>
          <w:szCs w:val="32"/>
        </w:rPr>
      </w:pPr>
      <w:r>
        <w:rPr>
          <w:rFonts w:hint="eastAsia" w:ascii="Times New Roman" w:hAnsi="Times New Roman" w:eastAsia="仿宋_GB2312" w:cs="Times New Roman"/>
          <w:bCs/>
          <w:kern w:val="44"/>
          <w:sz w:val="32"/>
          <w:szCs w:val="32"/>
          <w:lang w:val="en-US" w:eastAsia="zh-CN"/>
        </w:rPr>
        <w:t xml:space="preserve">                         </w:t>
      </w:r>
      <w:bookmarkEnd w:id="75"/>
    </w:p>
    <w:p>
      <w:pPr>
        <w:pStyle w:val="5"/>
        <w:adjustRightInd w:val="0"/>
        <w:snapToGrid w:val="0"/>
        <w:spacing w:after="0" w:line="560" w:lineRule="exact"/>
        <w:rPr>
          <w:rFonts w:ascii="Times New Roman" w:hAnsi="Times New Roman" w:cs="Times New Roman"/>
        </w:rPr>
        <w:sectPr>
          <w:footerReference r:id="rId5" w:type="default"/>
          <w:pgSz w:w="11906" w:h="16838"/>
          <w:pgMar w:top="1701" w:right="1701" w:bottom="1701" w:left="1701" w:header="851" w:footer="992" w:gutter="0"/>
          <w:pgNumType w:start="1"/>
          <w:cols w:space="425" w:num="1"/>
          <w:docGrid w:type="lines" w:linePitch="312" w:charSpace="0"/>
        </w:sectPr>
      </w:pPr>
    </w:p>
    <w:p>
      <w:pPr>
        <w:adjustRightInd w:val="0"/>
        <w:snapToGrid w:val="0"/>
        <w:spacing w:after="0" w:afterLines="0" w:line="540" w:lineRule="exact"/>
        <w:ind w:firstLine="640" w:firstLineChars="200"/>
        <w:jc w:val="left"/>
        <w:textAlignment w:val="baseline"/>
        <w:rPr>
          <w:rFonts w:hint="eastAsia" w:ascii="Times New Roman" w:hAnsi="Times New Roman" w:eastAsia="黑体" w:cs="Times New Roman"/>
          <w:sz w:val="32"/>
          <w:szCs w:val="32"/>
        </w:rPr>
      </w:pPr>
      <w:r>
        <w:rPr>
          <w:rFonts w:hint="eastAsia" w:ascii="Times New Roman" w:hAnsi="Times New Roman" w:eastAsia="黑体" w:cs="Times New Roman"/>
          <w:sz w:val="32"/>
          <w:szCs w:val="32"/>
        </w:rPr>
        <w:t>附件</w:t>
      </w:r>
    </w:p>
    <w:p>
      <w:pPr>
        <w:widowControl/>
        <w:jc w:val="center"/>
        <w:rPr>
          <w:rFonts w:hint="eastAsia" w:ascii="Times New Roman" w:hAnsi="Times New Roman" w:eastAsia="方正小标宋简体" w:cs="Times New Roman"/>
          <w:color w:val="000000"/>
          <w:kern w:val="0"/>
          <w:sz w:val="44"/>
          <w:szCs w:val="44"/>
        </w:rPr>
      </w:pPr>
      <w:r>
        <w:rPr>
          <w:rFonts w:hint="eastAsia" w:ascii="Times New Roman" w:hAnsi="Times New Roman" w:eastAsia="方正小标宋简体" w:cs="Times New Roman"/>
          <w:color w:val="000000"/>
          <w:kern w:val="0"/>
          <w:sz w:val="44"/>
          <w:szCs w:val="44"/>
        </w:rPr>
        <w:t>2024年部门整体绩效评价指标体系评分表</w:t>
      </w:r>
    </w:p>
    <w:tbl>
      <w:tblPr>
        <w:tblStyle w:val="19"/>
        <w:tblW w:w="4385" w:type="pct"/>
        <w:jc w:val="center"/>
        <w:tblLayout w:type="fixed"/>
        <w:tblCellMar>
          <w:top w:w="0" w:type="dxa"/>
          <w:left w:w="108" w:type="dxa"/>
          <w:bottom w:w="0" w:type="dxa"/>
          <w:right w:w="108" w:type="dxa"/>
        </w:tblCellMar>
      </w:tblPr>
      <w:tblGrid>
        <w:gridCol w:w="834"/>
        <w:gridCol w:w="1377"/>
        <w:gridCol w:w="1260"/>
        <w:gridCol w:w="1565"/>
        <w:gridCol w:w="2670"/>
        <w:gridCol w:w="2415"/>
        <w:gridCol w:w="2351"/>
      </w:tblGrid>
      <w:tr>
        <w:tblPrEx>
          <w:tblCellMar>
            <w:top w:w="0" w:type="dxa"/>
            <w:left w:w="108" w:type="dxa"/>
            <w:bottom w:w="0" w:type="dxa"/>
            <w:right w:w="108" w:type="dxa"/>
          </w:tblCellMar>
        </w:tblPrEx>
        <w:trPr>
          <w:trHeight w:val="584"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Times New Roman" w:hAnsi="Times New Roman" w:cs="Times New Roman"/>
                <w:color w:val="000000"/>
                <w:kern w:val="0"/>
                <w:sz w:val="20"/>
                <w:szCs w:val="20"/>
              </w:rPr>
            </w:pPr>
            <w:r>
              <w:rPr>
                <w:rFonts w:hint="eastAsia" w:ascii="Times New Roman" w:hAnsi="Times New Roman" w:cs="Times New Roman"/>
                <w:color w:val="000000"/>
                <w:kern w:val="0"/>
                <w:sz w:val="18"/>
                <w:szCs w:val="18"/>
              </w:rPr>
              <w:t>一、</w:t>
            </w:r>
            <w:r>
              <w:rPr>
                <w:rFonts w:hint="eastAsia" w:ascii="Times New Roman" w:hAnsi="Times New Roman" w:cs="Times New Roman"/>
                <w:color w:val="000000"/>
                <w:kern w:val="0"/>
                <w:sz w:val="20"/>
                <w:szCs w:val="20"/>
              </w:rPr>
              <w:t>当年预算执行情况（</w:t>
            </w:r>
            <w:r>
              <w:rPr>
                <w:rFonts w:ascii="Times New Roman" w:hAnsi="Times New Roman" w:cs="Times New Roman"/>
                <w:color w:val="000000"/>
                <w:kern w:val="0"/>
                <w:sz w:val="20"/>
                <w:szCs w:val="20"/>
              </w:rPr>
              <w:t>20分）</w:t>
            </w:r>
          </w:p>
        </w:tc>
      </w:tr>
      <w:tr>
        <w:tblPrEx>
          <w:tblCellMar>
            <w:top w:w="0" w:type="dxa"/>
            <w:left w:w="108" w:type="dxa"/>
            <w:bottom w:w="0" w:type="dxa"/>
            <w:right w:w="108" w:type="dxa"/>
          </w:tblCellMar>
        </w:tblPrEx>
        <w:trPr>
          <w:trHeight w:val="584"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一</w:t>
            </w:r>
            <w:r>
              <w:rPr>
                <w:rFonts w:ascii="Times New Roman" w:hAnsi="Times New Roman" w:cs="Times New Roman"/>
                <w:color w:val="000000"/>
                <w:kern w:val="0"/>
                <w:sz w:val="20"/>
                <w:szCs w:val="20"/>
              </w:rPr>
              <w:t>级</w:t>
            </w:r>
          </w:p>
          <w:p>
            <w:pPr>
              <w:widowControl/>
              <w:adjustRightInd w:val="0"/>
              <w:snapToGrid w:val="0"/>
              <w:jc w:val="center"/>
              <w:rPr>
                <w:rFonts w:ascii="Times New Roman" w:hAnsi="Times New Roman" w:cs="Times New Roman" w:eastAsiaTheme="minorEastAsia"/>
                <w:color w:val="000000"/>
                <w:kern w:val="0"/>
                <w:sz w:val="20"/>
                <w:szCs w:val="20"/>
                <w:lang w:val="en-US" w:eastAsia="zh-CN" w:bidi="ar-SA"/>
              </w:rPr>
            </w:pPr>
            <w:r>
              <w:rPr>
                <w:rFonts w:ascii="Times New Roman" w:hAnsi="Times New Roman" w:cs="Times New Roman"/>
                <w:color w:val="000000"/>
                <w:kern w:val="0"/>
                <w:sz w:val="20"/>
                <w:szCs w:val="20"/>
              </w:rPr>
              <w:t>指标</w:t>
            </w:r>
          </w:p>
        </w:tc>
        <w:tc>
          <w:tcPr>
            <w:tcW w:w="552"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二</w:t>
            </w:r>
            <w:r>
              <w:rPr>
                <w:rFonts w:ascii="Times New Roman" w:hAnsi="Times New Roman" w:cs="Times New Roman"/>
                <w:color w:val="000000"/>
                <w:kern w:val="0"/>
                <w:sz w:val="20"/>
                <w:szCs w:val="20"/>
              </w:rPr>
              <w:t>级</w:t>
            </w:r>
          </w:p>
          <w:p>
            <w:pPr>
              <w:widowControl/>
              <w:adjustRightInd w:val="0"/>
              <w:snapToGrid w:val="0"/>
              <w:jc w:val="center"/>
              <w:rPr>
                <w:rFonts w:ascii="Times New Roman" w:hAnsi="Times New Roman" w:cs="Times New Roman" w:eastAsiaTheme="minorEastAsia"/>
                <w:color w:val="000000"/>
                <w:kern w:val="0"/>
                <w:sz w:val="20"/>
                <w:szCs w:val="20"/>
                <w:lang w:val="en-US" w:eastAsia="zh-CN" w:bidi="ar-SA"/>
              </w:rPr>
            </w:pPr>
            <w:r>
              <w:rPr>
                <w:rFonts w:ascii="Times New Roman" w:hAnsi="Times New Roman" w:cs="Times New Roman"/>
                <w:color w:val="000000"/>
                <w:kern w:val="0"/>
                <w:sz w:val="20"/>
                <w:szCs w:val="20"/>
              </w:rPr>
              <w:t>指标</w:t>
            </w:r>
          </w:p>
        </w:tc>
        <w:tc>
          <w:tcPr>
            <w:tcW w:w="50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预算数</w:t>
            </w:r>
          </w:p>
          <w:p>
            <w:pPr>
              <w:widowControl/>
              <w:adjustRightInd w:val="0"/>
              <w:snapToGrid w:val="0"/>
              <w:jc w:val="center"/>
              <w:rPr>
                <w:rFonts w:hint="eastAsia" w:ascii="Times New Roman" w:hAnsi="Times New Roman" w:cs="Times New Roman" w:eastAsiaTheme="minorEastAsia"/>
                <w:color w:val="000000"/>
                <w:kern w:val="0"/>
                <w:sz w:val="20"/>
                <w:szCs w:val="20"/>
                <w:lang w:val="en-US" w:eastAsia="zh-CN" w:bidi="ar-SA"/>
              </w:rPr>
            </w:pPr>
            <w:r>
              <w:rPr>
                <w:rFonts w:hint="eastAsia" w:ascii="Times New Roman" w:hAnsi="Times New Roman" w:cs="Times New Roman"/>
                <w:color w:val="000000"/>
                <w:kern w:val="0"/>
                <w:sz w:val="20"/>
                <w:szCs w:val="20"/>
              </w:rPr>
              <w:t>（万元）</w:t>
            </w:r>
          </w:p>
        </w:tc>
        <w:tc>
          <w:tcPr>
            <w:tcW w:w="62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执行数</w:t>
            </w:r>
          </w:p>
          <w:p>
            <w:pPr>
              <w:widowControl/>
              <w:adjustRightInd w:val="0"/>
              <w:snapToGrid w:val="0"/>
              <w:jc w:val="center"/>
              <w:rPr>
                <w:rFonts w:hint="eastAsia" w:ascii="Times New Roman" w:hAnsi="Times New Roman" w:cs="Times New Roman" w:eastAsiaTheme="minorEastAsia"/>
                <w:color w:val="000000"/>
                <w:kern w:val="0"/>
                <w:sz w:val="20"/>
                <w:szCs w:val="20"/>
                <w:lang w:val="en-US" w:eastAsia="zh-CN" w:bidi="ar-SA"/>
              </w:rPr>
            </w:pPr>
            <w:r>
              <w:rPr>
                <w:rFonts w:hint="eastAsia" w:ascii="Times New Roman" w:hAnsi="Times New Roman" w:cs="Times New Roman"/>
                <w:color w:val="000000"/>
                <w:kern w:val="0"/>
                <w:sz w:val="20"/>
                <w:szCs w:val="20"/>
              </w:rPr>
              <w:t>（万元）</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Times New Roman" w:hAnsi="Times New Roman" w:cs="Times New Roman" w:eastAsiaTheme="minorEastAsia"/>
                <w:color w:val="000000"/>
                <w:kern w:val="0"/>
                <w:sz w:val="20"/>
                <w:szCs w:val="20"/>
                <w:lang w:val="en-US" w:eastAsia="zh-CN" w:bidi="ar-SA"/>
              </w:rPr>
            </w:pPr>
            <w:r>
              <w:rPr>
                <w:rFonts w:hint="eastAsia" w:ascii="Times New Roman" w:hAnsi="Times New Roman" w:cs="Times New Roman"/>
                <w:color w:val="000000"/>
                <w:kern w:val="0"/>
                <w:sz w:val="20"/>
                <w:szCs w:val="20"/>
              </w:rPr>
              <w:t>预算执行率</w:t>
            </w:r>
          </w:p>
        </w:tc>
        <w:tc>
          <w:tcPr>
            <w:tcW w:w="968"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Times New Roman" w:hAnsi="Times New Roman" w:cs="Times New Roman" w:eastAsiaTheme="minorEastAsia"/>
                <w:color w:val="000000"/>
                <w:kern w:val="0"/>
                <w:sz w:val="20"/>
                <w:szCs w:val="20"/>
                <w:lang w:val="en-US" w:eastAsia="zh-CN" w:bidi="ar-SA"/>
              </w:rPr>
            </w:pPr>
            <w:r>
              <w:rPr>
                <w:rFonts w:hint="eastAsia" w:ascii="Times New Roman" w:hAnsi="Times New Roman" w:cs="Times New Roman"/>
                <w:color w:val="000000"/>
                <w:kern w:val="0"/>
                <w:sz w:val="20"/>
                <w:szCs w:val="20"/>
              </w:rPr>
              <w:t>分值</w:t>
            </w:r>
          </w:p>
        </w:tc>
        <w:tc>
          <w:tcPr>
            <w:tcW w:w="942"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Times New Roman" w:hAnsi="Times New Roman" w:cs="Times New Roman" w:eastAsiaTheme="minorEastAsia"/>
                <w:color w:val="000000"/>
                <w:kern w:val="0"/>
                <w:sz w:val="20"/>
                <w:szCs w:val="20"/>
                <w:lang w:val="en-US" w:eastAsia="zh-CN" w:bidi="ar-SA"/>
              </w:rPr>
            </w:pPr>
            <w:r>
              <w:rPr>
                <w:rFonts w:hint="eastAsia" w:ascii="Times New Roman" w:hAnsi="Times New Roman" w:cs="Times New Roman"/>
                <w:color w:val="000000"/>
                <w:kern w:val="0"/>
                <w:sz w:val="20"/>
                <w:szCs w:val="20"/>
              </w:rPr>
              <w:t>得分</w:t>
            </w:r>
          </w:p>
        </w:tc>
      </w:tr>
      <w:tr>
        <w:tblPrEx>
          <w:tblCellMar>
            <w:top w:w="0" w:type="dxa"/>
            <w:left w:w="108" w:type="dxa"/>
            <w:bottom w:w="0" w:type="dxa"/>
            <w:right w:w="108" w:type="dxa"/>
          </w:tblCellMar>
        </w:tblPrEx>
        <w:trPr>
          <w:trHeight w:val="630" w:hRule="atLeast"/>
          <w:jc w:val="center"/>
        </w:trPr>
        <w:tc>
          <w:tcPr>
            <w:tcW w:w="334" w:type="pct"/>
            <w:vMerge w:val="restart"/>
            <w:tcBorders>
              <w:top w:val="nil"/>
              <w:left w:val="single" w:color="auto" w:sz="4" w:space="0"/>
              <w:bottom w:val="single" w:color="000000"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当年预算执行情况（</w:t>
            </w:r>
            <w:r>
              <w:rPr>
                <w:rFonts w:ascii="Times New Roman" w:hAnsi="Times New Roman" w:cs="Times New Roman"/>
                <w:color w:val="000000"/>
                <w:kern w:val="0"/>
                <w:sz w:val="20"/>
                <w:szCs w:val="20"/>
              </w:rPr>
              <w:t>20）</w:t>
            </w:r>
          </w:p>
        </w:tc>
        <w:tc>
          <w:tcPr>
            <w:tcW w:w="55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资金总体</w:t>
            </w: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18565.22</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17850.70</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96.15%</w:t>
            </w:r>
          </w:p>
        </w:tc>
        <w:tc>
          <w:tcPr>
            <w:tcW w:w="968"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20.00</w:t>
            </w:r>
          </w:p>
        </w:tc>
        <w:tc>
          <w:tcPr>
            <w:tcW w:w="942"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19.23</w:t>
            </w:r>
          </w:p>
        </w:tc>
      </w:tr>
      <w:tr>
        <w:tblPrEx>
          <w:tblCellMar>
            <w:top w:w="0" w:type="dxa"/>
            <w:left w:w="108" w:type="dxa"/>
            <w:bottom w:w="0" w:type="dxa"/>
            <w:right w:w="108" w:type="dxa"/>
          </w:tblCellMar>
        </w:tblPrEx>
        <w:trPr>
          <w:trHeight w:val="600" w:hRule="atLeast"/>
          <w:jc w:val="center"/>
        </w:trPr>
        <w:tc>
          <w:tcPr>
            <w:tcW w:w="334" w:type="pct"/>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c>
          <w:tcPr>
            <w:tcW w:w="552" w:type="pct"/>
            <w:tcBorders>
              <w:top w:val="single" w:color="auto" w:sz="4" w:space="0"/>
              <w:left w:val="single" w:color="auto" w:sz="4" w:space="0"/>
              <w:bottom w:val="single" w:color="auto" w:sz="4" w:space="0"/>
              <w:right w:val="nil"/>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基本支出</w:t>
            </w: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9767.19</w:t>
            </w:r>
          </w:p>
        </w:tc>
        <w:tc>
          <w:tcPr>
            <w:tcW w:w="627"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9571.01</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97.99%</w:t>
            </w:r>
          </w:p>
        </w:tc>
        <w:tc>
          <w:tcPr>
            <w:tcW w:w="96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c>
          <w:tcPr>
            <w:tcW w:w="94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r>
      <w:tr>
        <w:tblPrEx>
          <w:tblCellMar>
            <w:top w:w="0" w:type="dxa"/>
            <w:left w:w="108" w:type="dxa"/>
            <w:bottom w:w="0" w:type="dxa"/>
            <w:right w:w="108" w:type="dxa"/>
          </w:tblCellMar>
        </w:tblPrEx>
        <w:trPr>
          <w:trHeight w:val="615" w:hRule="atLeast"/>
          <w:jc w:val="center"/>
        </w:trPr>
        <w:tc>
          <w:tcPr>
            <w:tcW w:w="334" w:type="pct"/>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c>
          <w:tcPr>
            <w:tcW w:w="552" w:type="pct"/>
            <w:tcBorders>
              <w:top w:val="single" w:color="auto" w:sz="4" w:space="0"/>
              <w:left w:val="single" w:color="auto" w:sz="4" w:space="0"/>
              <w:bottom w:val="single" w:color="auto" w:sz="4" w:space="0"/>
              <w:right w:val="nil"/>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项目支出</w:t>
            </w: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8798.03</w:t>
            </w:r>
          </w:p>
        </w:tc>
        <w:tc>
          <w:tcPr>
            <w:tcW w:w="627"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8279.69</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94.11%</w:t>
            </w:r>
          </w:p>
        </w:tc>
        <w:tc>
          <w:tcPr>
            <w:tcW w:w="96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c>
          <w:tcPr>
            <w:tcW w:w="94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r>
      <w:tr>
        <w:tblPrEx>
          <w:tblCellMar>
            <w:top w:w="0" w:type="dxa"/>
            <w:left w:w="108" w:type="dxa"/>
            <w:bottom w:w="0" w:type="dxa"/>
            <w:right w:w="108" w:type="dxa"/>
          </w:tblCellMar>
        </w:tblPrEx>
        <w:trPr>
          <w:trHeight w:val="90" w:hRule="atLeast"/>
          <w:jc w:val="center"/>
        </w:trPr>
        <w:tc>
          <w:tcPr>
            <w:tcW w:w="334" w:type="pct"/>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c>
          <w:tcPr>
            <w:tcW w:w="55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其他</w:t>
            </w:r>
          </w:p>
        </w:tc>
        <w:tc>
          <w:tcPr>
            <w:tcW w:w="505"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tc>
        <w:tc>
          <w:tcPr>
            <w:tcW w:w="627"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96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c>
          <w:tcPr>
            <w:tcW w:w="94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p>
        </w:tc>
      </w:tr>
      <w:tr>
        <w:tblPrEx>
          <w:tblCellMar>
            <w:top w:w="0" w:type="dxa"/>
            <w:left w:w="108" w:type="dxa"/>
            <w:bottom w:w="0" w:type="dxa"/>
            <w:right w:w="108" w:type="dxa"/>
          </w:tblCellMar>
        </w:tblPrEx>
        <w:trPr>
          <w:trHeight w:val="90" w:hRule="atLeast"/>
          <w:jc w:val="center"/>
        </w:trPr>
        <w:tc>
          <w:tcPr>
            <w:tcW w:w="5000" w:type="pct"/>
            <w:gridSpan w:val="7"/>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color w:val="000000"/>
                <w:kern w:val="0"/>
                <w:sz w:val="20"/>
                <w:szCs w:val="20"/>
                <w:highlight w:val="yellow"/>
              </w:rPr>
            </w:pPr>
            <w:r>
              <w:rPr>
                <w:rFonts w:hint="eastAsia" w:ascii="Times New Roman" w:hAnsi="Times New Roman" w:cs="Times New Roman"/>
                <w:color w:val="000000"/>
                <w:kern w:val="0"/>
                <w:sz w:val="18"/>
                <w:szCs w:val="18"/>
              </w:rPr>
              <w:t>二</w:t>
            </w:r>
            <w:r>
              <w:rPr>
                <w:rFonts w:ascii="Times New Roman" w:hAnsi="Times New Roman" w:cs="Times New Roman"/>
                <w:color w:val="000000"/>
                <w:kern w:val="0"/>
                <w:sz w:val="18"/>
                <w:szCs w:val="18"/>
              </w:rPr>
              <w:t>、</w:t>
            </w:r>
            <w:r>
              <w:rPr>
                <w:rFonts w:hint="eastAsia" w:ascii="Times New Roman" w:hAnsi="Times New Roman" w:cs="Times New Roman"/>
                <w:color w:val="000000"/>
                <w:kern w:val="0"/>
                <w:sz w:val="20"/>
                <w:szCs w:val="20"/>
              </w:rPr>
              <w:t>整体绩效目标实现情况（</w:t>
            </w:r>
            <w:r>
              <w:rPr>
                <w:rFonts w:ascii="Times New Roman" w:hAnsi="Times New Roman" w:cs="Times New Roman"/>
                <w:color w:val="000000"/>
                <w:kern w:val="0"/>
                <w:sz w:val="20"/>
                <w:szCs w:val="20"/>
              </w:rPr>
              <w:t>60分）</w:t>
            </w:r>
          </w:p>
        </w:tc>
      </w:tr>
      <w:tr>
        <w:tblPrEx>
          <w:tblCellMar>
            <w:top w:w="0" w:type="dxa"/>
            <w:left w:w="108" w:type="dxa"/>
            <w:bottom w:w="0" w:type="dxa"/>
            <w:right w:w="108" w:type="dxa"/>
          </w:tblCellMar>
        </w:tblPrEx>
        <w:trPr>
          <w:trHeight w:val="852"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一</w:t>
            </w:r>
            <w:r>
              <w:rPr>
                <w:rFonts w:ascii="Times New Roman" w:hAnsi="Times New Roman" w:cs="Times New Roman"/>
                <w:color w:val="000000"/>
                <w:kern w:val="0"/>
                <w:sz w:val="20"/>
                <w:szCs w:val="20"/>
              </w:rPr>
              <w:t>级</w:t>
            </w:r>
          </w:p>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w:t>
            </w:r>
          </w:p>
        </w:tc>
        <w:tc>
          <w:tcPr>
            <w:tcW w:w="552"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二</w:t>
            </w:r>
            <w:r>
              <w:rPr>
                <w:rFonts w:ascii="Times New Roman" w:hAnsi="Times New Roman" w:cs="Times New Roman"/>
                <w:color w:val="000000"/>
                <w:kern w:val="0"/>
                <w:sz w:val="20"/>
                <w:szCs w:val="20"/>
              </w:rPr>
              <w:t>级</w:t>
            </w:r>
          </w:p>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w:t>
            </w:r>
            <w:r>
              <w:rPr>
                <w:rFonts w:hint="eastAsia" w:ascii="Times New Roman" w:hAnsi="Times New Roman" w:cs="Times New Roman"/>
                <w:color w:val="000000"/>
                <w:kern w:val="0"/>
                <w:sz w:val="20"/>
                <w:szCs w:val="20"/>
              </w:rPr>
              <w:t>　</w:t>
            </w:r>
          </w:p>
        </w:tc>
        <w:tc>
          <w:tcPr>
            <w:tcW w:w="505"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三</w:t>
            </w:r>
            <w:r>
              <w:rPr>
                <w:rFonts w:ascii="Times New Roman" w:hAnsi="Times New Roman" w:cs="Times New Roman"/>
                <w:color w:val="000000"/>
                <w:kern w:val="0"/>
                <w:sz w:val="20"/>
                <w:szCs w:val="20"/>
              </w:rPr>
              <w:t>级指标</w:t>
            </w:r>
            <w:r>
              <w:rPr>
                <w:rFonts w:hint="eastAsia" w:ascii="Times New Roman" w:hAnsi="Times New Roman" w:cs="Times New Roman"/>
                <w:color w:val="000000"/>
                <w:kern w:val="0"/>
                <w:sz w:val="20"/>
                <w:szCs w:val="20"/>
              </w:rPr>
              <w:t>　</w:t>
            </w:r>
          </w:p>
        </w:tc>
        <w:tc>
          <w:tcPr>
            <w:tcW w:w="627"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指标值</w:t>
            </w:r>
          </w:p>
        </w:tc>
        <w:tc>
          <w:tcPr>
            <w:tcW w:w="1070"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完成值</w:t>
            </w:r>
          </w:p>
        </w:tc>
        <w:tc>
          <w:tcPr>
            <w:tcW w:w="968"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分值</w:t>
            </w:r>
          </w:p>
        </w:tc>
        <w:tc>
          <w:tcPr>
            <w:tcW w:w="94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得分</w:t>
            </w:r>
          </w:p>
        </w:tc>
      </w:tr>
      <w:tr>
        <w:tblPrEx>
          <w:tblCellMar>
            <w:top w:w="0" w:type="dxa"/>
            <w:left w:w="108" w:type="dxa"/>
            <w:bottom w:w="0" w:type="dxa"/>
            <w:right w:w="108" w:type="dxa"/>
          </w:tblCellMar>
        </w:tblPrEx>
        <w:trPr>
          <w:trHeight w:val="1196" w:hRule="atLeast"/>
          <w:jc w:val="center"/>
        </w:trPr>
        <w:tc>
          <w:tcPr>
            <w:tcW w:w="334"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p>
            <w:pPr>
              <w:widowControl/>
              <w:jc w:val="center"/>
              <w:rPr>
                <w:rFonts w:ascii="Times New Roman" w:hAnsi="Times New Roman" w:cs="Times New Roman"/>
                <w:color w:val="000000"/>
                <w:kern w:val="0"/>
                <w:sz w:val="20"/>
                <w:szCs w:val="20"/>
              </w:rPr>
            </w:pPr>
          </w:p>
          <w:p>
            <w:pPr>
              <w:widowControl/>
              <w:jc w:val="center"/>
              <w:rPr>
                <w:rFonts w:ascii="Times New Roman" w:hAnsi="Times New Roman" w:cs="Times New Roman"/>
                <w:color w:val="000000"/>
                <w:kern w:val="0"/>
                <w:sz w:val="20"/>
                <w:szCs w:val="20"/>
              </w:rPr>
            </w:pPr>
          </w:p>
          <w:p>
            <w:pPr>
              <w:widowControl/>
              <w:jc w:val="center"/>
              <w:rPr>
                <w:rFonts w:ascii="Times New Roman" w:hAnsi="Times New Roman" w:cs="Times New Roman"/>
                <w:color w:val="000000"/>
                <w:kern w:val="0"/>
                <w:sz w:val="20"/>
                <w:szCs w:val="20"/>
              </w:rPr>
            </w:pPr>
          </w:p>
          <w:p>
            <w:pPr>
              <w:widowControl/>
              <w:jc w:val="center"/>
              <w:rPr>
                <w:rFonts w:ascii="Times New Roman" w:hAnsi="Times New Roman" w:cs="Times New Roman"/>
                <w:color w:val="000000"/>
                <w:kern w:val="0"/>
                <w:sz w:val="20"/>
                <w:szCs w:val="20"/>
              </w:rPr>
            </w:pPr>
          </w:p>
          <w:p>
            <w:pPr>
              <w:widowControl/>
              <w:jc w:val="center"/>
              <w:rPr>
                <w:rFonts w:ascii="Times New Roman" w:hAnsi="Times New Roman" w:cs="Times New Roman"/>
                <w:color w:val="000000"/>
                <w:kern w:val="0"/>
                <w:sz w:val="20"/>
                <w:szCs w:val="20"/>
              </w:rPr>
            </w:pPr>
          </w:p>
          <w:p>
            <w:pPr>
              <w:widowControl/>
              <w:jc w:val="center"/>
              <w:rPr>
                <w:rFonts w:ascii="Times New Roman" w:hAnsi="Times New Roman" w:cs="Times New Roman"/>
                <w:color w:val="000000"/>
                <w:kern w:val="0"/>
                <w:sz w:val="20"/>
                <w:szCs w:val="20"/>
              </w:rPr>
            </w:pPr>
          </w:p>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整体绩效目标实现情况（</w:t>
            </w:r>
            <w:r>
              <w:rPr>
                <w:rFonts w:ascii="Times New Roman" w:hAnsi="Times New Roman" w:cs="Times New Roman"/>
                <w:color w:val="000000"/>
                <w:kern w:val="0"/>
                <w:sz w:val="20"/>
                <w:szCs w:val="20"/>
              </w:rPr>
              <w:t>60）</w:t>
            </w:r>
          </w:p>
        </w:tc>
        <w:tc>
          <w:tcPr>
            <w:tcW w:w="55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p>
            <w:pPr>
              <w:jc w:val="center"/>
              <w:rPr>
                <w:rFonts w:ascii="Times New Roman" w:hAnsi="Times New Roman" w:cs="Times New Roman"/>
                <w:color w:val="000000"/>
                <w:kern w:val="0"/>
                <w:sz w:val="20"/>
                <w:szCs w:val="20"/>
              </w:rPr>
            </w:pPr>
          </w:p>
          <w:p>
            <w:pPr>
              <w:jc w:val="center"/>
              <w:rPr>
                <w:rFonts w:ascii="Times New Roman" w:hAnsi="Times New Roman" w:cs="Times New Roman"/>
                <w:color w:val="000000"/>
                <w:kern w:val="0"/>
                <w:sz w:val="20"/>
                <w:szCs w:val="20"/>
              </w:rPr>
            </w:pPr>
          </w:p>
          <w:p>
            <w:pPr>
              <w:jc w:val="both"/>
              <w:rPr>
                <w:rFonts w:ascii="Times New Roman" w:hAnsi="Times New Roman" w:cs="Times New Roman"/>
                <w:color w:val="000000"/>
                <w:kern w:val="0"/>
                <w:sz w:val="20"/>
                <w:szCs w:val="20"/>
              </w:rPr>
            </w:pPr>
          </w:p>
          <w:p>
            <w:pPr>
              <w:pStyle w:val="2"/>
            </w:pPr>
          </w:p>
          <w:p>
            <w:pPr>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产出（</w:t>
            </w:r>
            <w:r>
              <w:rPr>
                <w:rFonts w:ascii="Times New Roman" w:hAnsi="Times New Roman" w:cs="Times New Roman"/>
                <w:color w:val="000000"/>
                <w:kern w:val="0"/>
                <w:sz w:val="20"/>
                <w:szCs w:val="20"/>
              </w:rPr>
              <w:t>30）</w:t>
            </w: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p>
            <w:pPr>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产出数量</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p>
            <w:pPr>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18"/>
                <w:szCs w:val="18"/>
              </w:rPr>
              <w:t>计划完成率</w:t>
            </w:r>
            <w:r>
              <w:rPr>
                <w:rFonts w:ascii="Times New Roman" w:hAnsi="Times New Roman" w:cs="Times New Roman"/>
                <w:color w:val="000000"/>
                <w:kern w:val="0"/>
                <w:sz w:val="18"/>
                <w:szCs w:val="18"/>
              </w:rPr>
              <w:t>100%</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p>
            <w:pPr>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100%</w:t>
            </w:r>
            <w:r>
              <w:rPr>
                <w:rFonts w:hint="eastAsia" w:ascii="Times New Roman" w:hAnsi="Times New Roman" w:cs="Times New Roman"/>
                <w:color w:val="000000"/>
                <w:kern w:val="0"/>
                <w:sz w:val="20"/>
                <w:szCs w:val="20"/>
              </w:rPr>
              <w:t>　</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p>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p>
        </w:tc>
        <w:tc>
          <w:tcPr>
            <w:tcW w:w="94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p>
          <w:p>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p>
        </w:tc>
      </w:tr>
      <w:tr>
        <w:tblPrEx>
          <w:tblCellMar>
            <w:top w:w="0" w:type="dxa"/>
            <w:left w:w="108" w:type="dxa"/>
            <w:bottom w:w="0" w:type="dxa"/>
            <w:right w:w="108" w:type="dxa"/>
          </w:tblCellMar>
        </w:tblPrEx>
        <w:trPr>
          <w:trHeight w:val="1130"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产出质量</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18"/>
                <w:szCs w:val="18"/>
              </w:rPr>
              <w:t>计划完成率</w:t>
            </w:r>
            <w:r>
              <w:rPr>
                <w:rFonts w:ascii="Times New Roman" w:hAnsi="Times New Roman" w:cs="Times New Roman"/>
                <w:color w:val="000000"/>
                <w:kern w:val="0"/>
                <w:sz w:val="18"/>
                <w:szCs w:val="18"/>
              </w:rPr>
              <w:t>100%</w:t>
            </w:r>
            <w:r>
              <w:rPr>
                <w:rFonts w:hint="eastAsia" w:ascii="Times New Roman" w:hAnsi="Times New Roman" w:cs="Times New Roman"/>
                <w:color w:val="000000"/>
                <w:kern w:val="0"/>
                <w:sz w:val="20"/>
                <w:szCs w:val="20"/>
              </w:rPr>
              <w:t>　</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100%　</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p>
        </w:tc>
      </w:tr>
      <w:tr>
        <w:tblPrEx>
          <w:tblCellMar>
            <w:top w:w="0" w:type="dxa"/>
            <w:left w:w="108" w:type="dxa"/>
            <w:bottom w:w="0" w:type="dxa"/>
            <w:right w:w="108" w:type="dxa"/>
          </w:tblCellMar>
        </w:tblPrEx>
        <w:trPr>
          <w:trHeight w:val="1258"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产出进度</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18"/>
                <w:szCs w:val="18"/>
              </w:rPr>
              <w:t>按时完成率</w:t>
            </w:r>
            <w:r>
              <w:rPr>
                <w:rFonts w:ascii="Times New Roman" w:hAnsi="Times New Roman" w:cs="Times New Roman"/>
                <w:color w:val="000000"/>
                <w:kern w:val="0"/>
                <w:sz w:val="18"/>
                <w:szCs w:val="18"/>
              </w:rPr>
              <w:t>100%</w:t>
            </w:r>
            <w:r>
              <w:rPr>
                <w:rFonts w:hint="eastAsia" w:ascii="Times New Roman" w:hAnsi="Times New Roman" w:cs="Times New Roman"/>
                <w:color w:val="000000"/>
                <w:kern w:val="0"/>
                <w:sz w:val="20"/>
                <w:szCs w:val="20"/>
              </w:rPr>
              <w:t>　</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　</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6</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6</w:t>
            </w:r>
          </w:p>
        </w:tc>
      </w:tr>
      <w:tr>
        <w:tblPrEx>
          <w:tblCellMar>
            <w:top w:w="0" w:type="dxa"/>
            <w:left w:w="108" w:type="dxa"/>
            <w:bottom w:w="0" w:type="dxa"/>
            <w:right w:w="108" w:type="dxa"/>
          </w:tblCellMar>
        </w:tblPrEx>
        <w:trPr>
          <w:trHeight w:val="975"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产出成本</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w:t>
            </w:r>
            <w:r>
              <w:rPr>
                <w:rFonts w:ascii="Times New Roman" w:hAnsi="Times New Roman" w:cs="Times New Roman"/>
                <w:color w:val="000000"/>
                <w:kern w:val="0"/>
                <w:sz w:val="20"/>
                <w:szCs w:val="20"/>
              </w:rPr>
              <w:t>18565.22</w:t>
            </w:r>
            <w:r>
              <w:rPr>
                <w:rFonts w:hint="eastAsia" w:ascii="Times New Roman" w:hAnsi="Times New Roman" w:cs="Times New Roman"/>
                <w:color w:val="000000"/>
                <w:kern w:val="0"/>
                <w:sz w:val="18"/>
                <w:szCs w:val="18"/>
              </w:rPr>
              <w:t>万元</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17850.70</w:t>
            </w:r>
            <w:r>
              <w:rPr>
                <w:rFonts w:hint="eastAsia" w:ascii="Times New Roman" w:hAnsi="Times New Roman" w:cs="Times New Roman"/>
                <w:color w:val="000000"/>
                <w:kern w:val="0"/>
                <w:sz w:val="18"/>
                <w:szCs w:val="18"/>
              </w:rPr>
              <w:t>万元</w:t>
            </w:r>
            <w:r>
              <w:rPr>
                <w:rFonts w:hint="eastAsia" w:ascii="Times New Roman" w:hAnsi="Times New Roman" w:cs="Times New Roman"/>
                <w:color w:val="000000"/>
                <w:kern w:val="0"/>
                <w:sz w:val="20"/>
                <w:szCs w:val="20"/>
              </w:rPr>
              <w:t>　</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p>
        </w:tc>
      </w:tr>
      <w:tr>
        <w:tblPrEx>
          <w:tblCellMar>
            <w:top w:w="0" w:type="dxa"/>
            <w:left w:w="108" w:type="dxa"/>
            <w:bottom w:w="0" w:type="dxa"/>
            <w:right w:w="108" w:type="dxa"/>
          </w:tblCellMar>
        </w:tblPrEx>
        <w:trPr>
          <w:trHeight w:val="675"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效果（</w:t>
            </w:r>
            <w:r>
              <w:rPr>
                <w:rFonts w:ascii="Times New Roman" w:hAnsi="Times New Roman" w:cs="Times New Roman"/>
                <w:color w:val="000000"/>
                <w:kern w:val="0"/>
                <w:sz w:val="20"/>
                <w:szCs w:val="20"/>
              </w:rPr>
              <w:t>30）</w:t>
            </w: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经济效益</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96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r>
              <w:rPr>
                <w:rFonts w:hint="eastAsia" w:ascii="Times New Roman" w:hAnsi="Times New Roman" w:cs="Times New Roman"/>
                <w:color w:val="000000"/>
                <w:kern w:val="0"/>
                <w:sz w:val="20"/>
                <w:szCs w:val="20"/>
              </w:rPr>
              <w:t>　</w:t>
            </w:r>
          </w:p>
        </w:tc>
      </w:tr>
      <w:tr>
        <w:tblPrEx>
          <w:tblCellMar>
            <w:top w:w="0" w:type="dxa"/>
            <w:left w:w="108" w:type="dxa"/>
            <w:bottom w:w="0" w:type="dxa"/>
            <w:right w:w="108" w:type="dxa"/>
          </w:tblCellMar>
        </w:tblPrEx>
        <w:trPr>
          <w:trHeight w:val="630" w:hRule="atLeast"/>
          <w:jc w:val="center"/>
        </w:trPr>
        <w:tc>
          <w:tcPr>
            <w:tcW w:w="33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05"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社会效益</w:t>
            </w:r>
          </w:p>
        </w:tc>
        <w:tc>
          <w:tcPr>
            <w:tcW w:w="627"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w:t>
            </w:r>
          </w:p>
        </w:tc>
      </w:tr>
      <w:tr>
        <w:tblPrEx>
          <w:tblCellMar>
            <w:top w:w="0" w:type="dxa"/>
            <w:left w:w="108" w:type="dxa"/>
            <w:bottom w:w="0" w:type="dxa"/>
            <w:right w:w="108" w:type="dxa"/>
          </w:tblCellMar>
        </w:tblPrEx>
        <w:trPr>
          <w:trHeight w:val="675" w:hRule="atLeast"/>
          <w:jc w:val="center"/>
        </w:trPr>
        <w:tc>
          <w:tcPr>
            <w:tcW w:w="334" w:type="pct"/>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05" w:type="pct"/>
            <w:tcBorders>
              <w:top w:val="nil"/>
              <w:left w:val="nil"/>
              <w:bottom w:val="single" w:color="auto" w:sz="4" w:space="0"/>
              <w:right w:val="single" w:color="auto" w:sz="4" w:space="0"/>
            </w:tcBorders>
            <w:vAlign w:val="center"/>
          </w:tcPr>
          <w:p>
            <w:pPr>
              <w:widowControl/>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可持续影响</w:t>
            </w:r>
          </w:p>
        </w:tc>
        <w:tc>
          <w:tcPr>
            <w:tcW w:w="627" w:type="pct"/>
            <w:tcBorders>
              <w:top w:val="nil"/>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nil"/>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r>
      <w:tr>
        <w:tblPrEx>
          <w:tblCellMar>
            <w:top w:w="0" w:type="dxa"/>
            <w:left w:w="108" w:type="dxa"/>
            <w:bottom w:w="0" w:type="dxa"/>
            <w:right w:w="108" w:type="dxa"/>
          </w:tblCellMar>
        </w:tblPrEx>
        <w:trPr>
          <w:trHeight w:val="675" w:hRule="atLeast"/>
          <w:jc w:val="center"/>
        </w:trPr>
        <w:tc>
          <w:tcPr>
            <w:tcW w:w="334" w:type="pct"/>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05" w:type="pct"/>
            <w:tcBorders>
              <w:top w:val="nil"/>
              <w:left w:val="nil"/>
              <w:bottom w:val="single" w:color="auto" w:sz="4" w:space="0"/>
              <w:right w:val="single" w:color="auto" w:sz="4" w:space="0"/>
            </w:tcBorders>
            <w:vAlign w:val="center"/>
          </w:tcPr>
          <w:p>
            <w:pPr>
              <w:widowControl/>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服务对象满意度</w:t>
            </w:r>
          </w:p>
        </w:tc>
        <w:tc>
          <w:tcPr>
            <w:tcW w:w="627" w:type="pct"/>
            <w:tcBorders>
              <w:top w:val="nil"/>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nil"/>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良</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r>
              <w:rPr>
                <w:rFonts w:hint="eastAsia" w:ascii="Times New Roman" w:hAnsi="Times New Roman" w:cs="Times New Roman"/>
                <w:color w:val="000000"/>
                <w:kern w:val="0"/>
                <w:sz w:val="20"/>
                <w:szCs w:val="20"/>
              </w:rPr>
              <w:t>　</w:t>
            </w:r>
          </w:p>
        </w:tc>
      </w:tr>
      <w:tr>
        <w:tblPrEx>
          <w:tblCellMar>
            <w:top w:w="0" w:type="dxa"/>
            <w:left w:w="108" w:type="dxa"/>
            <w:bottom w:w="0" w:type="dxa"/>
            <w:right w:w="108" w:type="dxa"/>
          </w:tblCellMar>
        </w:tblPrEx>
        <w:trPr>
          <w:trHeight w:val="675" w:hRule="atLeast"/>
          <w:jc w:val="center"/>
        </w:trPr>
        <w:tc>
          <w:tcPr>
            <w:tcW w:w="5000" w:type="pct"/>
            <w:gridSpan w:val="7"/>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b/>
                <w:bCs/>
                <w:color w:val="000000"/>
                <w:kern w:val="0"/>
                <w:sz w:val="20"/>
                <w:szCs w:val="20"/>
              </w:rPr>
            </w:pPr>
            <w:r>
              <w:rPr>
                <w:rFonts w:hint="eastAsia" w:ascii="Times New Roman" w:hAnsi="Times New Roman" w:cs="Times New Roman"/>
                <w:color w:val="000000"/>
                <w:kern w:val="0"/>
                <w:sz w:val="18"/>
                <w:szCs w:val="18"/>
              </w:rPr>
              <w:t>三</w:t>
            </w:r>
            <w:r>
              <w:rPr>
                <w:rFonts w:ascii="Times New Roman" w:hAnsi="Times New Roman" w:cs="Times New Roman"/>
                <w:color w:val="000000"/>
                <w:kern w:val="0"/>
                <w:sz w:val="18"/>
                <w:szCs w:val="18"/>
              </w:rPr>
              <w:t>、</w:t>
            </w:r>
            <w:r>
              <w:rPr>
                <w:rFonts w:hint="eastAsia" w:ascii="Times New Roman" w:hAnsi="Times New Roman" w:cs="Times New Roman"/>
                <w:color w:val="000000"/>
                <w:kern w:val="0"/>
                <w:sz w:val="20"/>
                <w:szCs w:val="20"/>
              </w:rPr>
              <w:t>预算管理情况（</w:t>
            </w:r>
            <w:r>
              <w:rPr>
                <w:rFonts w:ascii="Times New Roman" w:hAnsi="Times New Roman" w:cs="Times New Roman"/>
                <w:color w:val="000000"/>
                <w:kern w:val="0"/>
                <w:sz w:val="20"/>
                <w:szCs w:val="20"/>
              </w:rPr>
              <w:t>20分）</w:t>
            </w:r>
          </w:p>
        </w:tc>
      </w:tr>
      <w:tr>
        <w:tblPrEx>
          <w:tblCellMar>
            <w:top w:w="0" w:type="dxa"/>
            <w:left w:w="108" w:type="dxa"/>
            <w:bottom w:w="0" w:type="dxa"/>
            <w:right w:w="108" w:type="dxa"/>
          </w:tblCellMar>
        </w:tblPrEx>
        <w:trPr>
          <w:trHeight w:val="702"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一</w:t>
            </w:r>
            <w:r>
              <w:rPr>
                <w:rFonts w:ascii="Times New Roman" w:hAnsi="Times New Roman" w:cs="Times New Roman"/>
                <w:color w:val="000000"/>
                <w:kern w:val="0"/>
                <w:sz w:val="20"/>
                <w:szCs w:val="20"/>
              </w:rPr>
              <w:t>级</w:t>
            </w:r>
          </w:p>
          <w:p>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w:t>
            </w:r>
          </w:p>
        </w:tc>
        <w:tc>
          <w:tcPr>
            <w:tcW w:w="552"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二</w:t>
            </w:r>
            <w:r>
              <w:rPr>
                <w:rFonts w:ascii="Times New Roman" w:hAnsi="Times New Roman" w:cs="Times New Roman"/>
                <w:color w:val="000000"/>
                <w:kern w:val="0"/>
                <w:sz w:val="20"/>
                <w:szCs w:val="20"/>
              </w:rPr>
              <w:t>级</w:t>
            </w:r>
          </w:p>
          <w:p>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w:t>
            </w:r>
          </w:p>
        </w:tc>
        <w:tc>
          <w:tcPr>
            <w:tcW w:w="505" w:type="pct"/>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三</w:t>
            </w:r>
            <w:r>
              <w:rPr>
                <w:rFonts w:ascii="Times New Roman" w:hAnsi="Times New Roman" w:cs="Times New Roman"/>
                <w:color w:val="000000"/>
                <w:kern w:val="0"/>
                <w:sz w:val="20"/>
                <w:szCs w:val="20"/>
              </w:rPr>
              <w:t>级指标</w:t>
            </w:r>
          </w:p>
        </w:tc>
        <w:tc>
          <w:tcPr>
            <w:tcW w:w="627" w:type="pct"/>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指标</w:t>
            </w:r>
            <w:r>
              <w:rPr>
                <w:rFonts w:ascii="Times New Roman" w:hAnsi="Times New Roman" w:cs="Times New Roman"/>
                <w:color w:val="000000"/>
                <w:kern w:val="0"/>
                <w:sz w:val="20"/>
                <w:szCs w:val="20"/>
              </w:rPr>
              <w:t>值</w:t>
            </w:r>
          </w:p>
        </w:tc>
        <w:tc>
          <w:tcPr>
            <w:tcW w:w="1070" w:type="pct"/>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完成</w:t>
            </w:r>
            <w:r>
              <w:rPr>
                <w:rFonts w:ascii="Times New Roman" w:hAnsi="Times New Roman" w:cs="Times New Roman"/>
                <w:color w:val="000000"/>
                <w:kern w:val="0"/>
                <w:sz w:val="20"/>
                <w:szCs w:val="20"/>
              </w:rPr>
              <w:t>值</w:t>
            </w:r>
          </w:p>
        </w:tc>
        <w:tc>
          <w:tcPr>
            <w:tcW w:w="968" w:type="pct"/>
            <w:tcBorders>
              <w:top w:val="single" w:color="auto" w:sz="4" w:space="0"/>
              <w:left w:val="nil"/>
              <w:bottom w:val="single" w:color="auto" w:sz="4" w:space="0"/>
              <w:right w:val="single" w:color="auto" w:sz="4" w:space="0"/>
            </w:tcBorders>
            <w:noWrap/>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分</w:t>
            </w:r>
            <w:r>
              <w:rPr>
                <w:rFonts w:ascii="Times New Roman" w:hAnsi="Times New Roman" w:cs="Times New Roman"/>
                <w:color w:val="000000"/>
                <w:kern w:val="0"/>
                <w:sz w:val="20"/>
                <w:szCs w:val="20"/>
              </w:rPr>
              <w:t>值</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得</w:t>
            </w:r>
            <w:r>
              <w:rPr>
                <w:rFonts w:ascii="Times New Roman" w:hAnsi="Times New Roman" w:cs="Times New Roman"/>
                <w:color w:val="000000"/>
                <w:kern w:val="0"/>
                <w:sz w:val="20"/>
                <w:szCs w:val="20"/>
              </w:rPr>
              <w:t>分</w:t>
            </w:r>
          </w:p>
        </w:tc>
      </w:tr>
      <w:tr>
        <w:tblPrEx>
          <w:tblCellMar>
            <w:top w:w="0" w:type="dxa"/>
            <w:left w:w="108" w:type="dxa"/>
            <w:bottom w:w="0" w:type="dxa"/>
            <w:right w:w="108" w:type="dxa"/>
          </w:tblCellMar>
        </w:tblPrEx>
        <w:trPr>
          <w:trHeight w:val="1011" w:hRule="atLeast"/>
          <w:jc w:val="center"/>
        </w:trPr>
        <w:tc>
          <w:tcPr>
            <w:tcW w:w="334"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预算管理情况（</w:t>
            </w:r>
            <w:r>
              <w:rPr>
                <w:rFonts w:ascii="Times New Roman" w:hAnsi="Times New Roman" w:cs="Times New Roman"/>
                <w:color w:val="000000"/>
                <w:kern w:val="0"/>
                <w:sz w:val="20"/>
                <w:szCs w:val="20"/>
              </w:rPr>
              <w:t>20）</w:t>
            </w:r>
          </w:p>
        </w:tc>
        <w:tc>
          <w:tcPr>
            <w:tcW w:w="55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财务管理（</w:t>
            </w:r>
            <w:r>
              <w:rPr>
                <w:rFonts w:ascii="Times New Roman" w:hAnsi="Times New Roman" w:cs="Times New Roman"/>
                <w:color w:val="000000"/>
                <w:kern w:val="0"/>
                <w:sz w:val="20"/>
                <w:szCs w:val="20"/>
              </w:rPr>
              <w:t>4）</w:t>
            </w: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财务管理制度健全性</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96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r>
      <w:tr>
        <w:tblPrEx>
          <w:tblCellMar>
            <w:top w:w="0" w:type="dxa"/>
            <w:left w:w="108" w:type="dxa"/>
            <w:bottom w:w="0" w:type="dxa"/>
            <w:right w:w="108" w:type="dxa"/>
          </w:tblCellMar>
        </w:tblPrEx>
        <w:trPr>
          <w:trHeight w:val="1133"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资金使用合规性和安全性</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96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w:t>
            </w:r>
          </w:p>
        </w:tc>
      </w:tr>
      <w:tr>
        <w:tblPrEx>
          <w:tblCellMar>
            <w:top w:w="0" w:type="dxa"/>
            <w:left w:w="108" w:type="dxa"/>
            <w:bottom w:w="0" w:type="dxa"/>
            <w:right w:w="108" w:type="dxa"/>
          </w:tblCellMar>
        </w:tblPrEx>
        <w:trPr>
          <w:trHeight w:val="1035"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会计基础信息完善性</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96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c>
          <w:tcPr>
            <w:tcW w:w="94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r>
      <w:tr>
        <w:tblPrEx>
          <w:tblCellMar>
            <w:top w:w="0" w:type="dxa"/>
            <w:left w:w="108" w:type="dxa"/>
            <w:bottom w:w="0" w:type="dxa"/>
            <w:right w:w="108" w:type="dxa"/>
          </w:tblCellMar>
        </w:tblPrEx>
        <w:trPr>
          <w:trHeight w:val="1490"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资产管理（</w:t>
            </w:r>
            <w:r>
              <w:rPr>
                <w:rFonts w:ascii="Times New Roman" w:hAnsi="Times New Roman" w:cs="Times New Roman"/>
                <w:color w:val="000000"/>
                <w:kern w:val="0"/>
                <w:sz w:val="20"/>
                <w:szCs w:val="20"/>
              </w:rPr>
              <w:t>4）</w:t>
            </w: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资产管理规范性</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94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r>
      <w:tr>
        <w:tblPrEx>
          <w:tblCellMar>
            <w:top w:w="0" w:type="dxa"/>
            <w:left w:w="108" w:type="dxa"/>
            <w:bottom w:w="0" w:type="dxa"/>
            <w:right w:w="108" w:type="dxa"/>
          </w:tblCellMar>
        </w:tblPrEx>
        <w:trPr>
          <w:trHeight w:val="1155"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绩效管理（</w:t>
            </w:r>
            <w:r>
              <w:rPr>
                <w:rFonts w:ascii="Times New Roman" w:hAnsi="Times New Roman" w:cs="Times New Roman"/>
                <w:color w:val="000000"/>
                <w:kern w:val="0"/>
                <w:sz w:val="20"/>
                <w:szCs w:val="20"/>
              </w:rPr>
              <w:t>4）</w:t>
            </w:r>
          </w:p>
        </w:tc>
        <w:tc>
          <w:tcPr>
            <w:tcW w:w="5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绩效管理情况</w:t>
            </w:r>
          </w:p>
        </w:tc>
        <w:tc>
          <w:tcPr>
            <w:tcW w:w="62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优</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94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r>
      <w:tr>
        <w:tblPrEx>
          <w:tblCellMar>
            <w:top w:w="0" w:type="dxa"/>
            <w:left w:w="108" w:type="dxa"/>
            <w:bottom w:w="0" w:type="dxa"/>
            <w:right w:w="108" w:type="dxa"/>
          </w:tblCellMar>
        </w:tblPrEx>
        <w:trPr>
          <w:trHeight w:val="394"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指标　</w:t>
            </w:r>
          </w:p>
        </w:tc>
        <w:tc>
          <w:tcPr>
            <w:tcW w:w="1132"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2023</w:t>
            </w:r>
            <w:r>
              <w:rPr>
                <w:rFonts w:hint="eastAsia" w:ascii="Times New Roman" w:hAnsi="Times New Roman" w:cs="Times New Roman"/>
                <w:color w:val="000000"/>
                <w:kern w:val="0"/>
                <w:sz w:val="20"/>
                <w:szCs w:val="20"/>
              </w:rPr>
              <w:t>年</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2024</w:t>
            </w:r>
            <w:r>
              <w:rPr>
                <w:rFonts w:hint="eastAsia" w:ascii="Times New Roman" w:hAnsi="Times New Roman" w:cs="Times New Roman"/>
                <w:color w:val="000000"/>
                <w:kern w:val="0"/>
                <w:sz w:val="20"/>
                <w:szCs w:val="20"/>
              </w:rPr>
              <w:t>年</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分值</w:t>
            </w:r>
          </w:p>
        </w:tc>
        <w:tc>
          <w:tcPr>
            <w:tcW w:w="94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得分</w:t>
            </w:r>
          </w:p>
        </w:tc>
      </w:tr>
      <w:tr>
        <w:tblPrEx>
          <w:tblCellMar>
            <w:top w:w="0" w:type="dxa"/>
            <w:left w:w="108" w:type="dxa"/>
            <w:bottom w:w="0" w:type="dxa"/>
            <w:right w:w="108" w:type="dxa"/>
          </w:tblCellMar>
        </w:tblPrEx>
        <w:trPr>
          <w:trHeight w:val="720"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结转结余率（</w:t>
            </w:r>
            <w:r>
              <w:rPr>
                <w:rFonts w:ascii="Times New Roman" w:hAnsi="Times New Roman" w:cs="Times New Roman"/>
                <w:color w:val="000000"/>
                <w:kern w:val="0"/>
                <w:sz w:val="20"/>
                <w:szCs w:val="20"/>
              </w:rPr>
              <w:t>4）</w:t>
            </w:r>
          </w:p>
        </w:tc>
        <w:tc>
          <w:tcPr>
            <w:tcW w:w="1132"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kern w:val="0"/>
                <w:sz w:val="20"/>
                <w:szCs w:val="20"/>
              </w:rPr>
              <w:t>5.85%</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3.85%</w:t>
            </w:r>
            <w:r>
              <w:rPr>
                <w:rFonts w:hint="eastAsia" w:ascii="Times New Roman" w:hAnsi="Times New Roman" w:cs="Times New Roman"/>
                <w:color w:val="000000"/>
                <w:kern w:val="0"/>
                <w:sz w:val="20"/>
                <w:szCs w:val="20"/>
              </w:rPr>
              <w:t>　</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94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r>
      <w:tr>
        <w:tblPrEx>
          <w:tblCellMar>
            <w:top w:w="0" w:type="dxa"/>
            <w:left w:w="108" w:type="dxa"/>
            <w:bottom w:w="0" w:type="dxa"/>
            <w:right w:w="108" w:type="dxa"/>
          </w:tblCellMar>
        </w:tblPrEx>
        <w:trPr>
          <w:trHeight w:val="90"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0"/>
                <w:szCs w:val="20"/>
              </w:rPr>
            </w:pPr>
          </w:p>
        </w:tc>
        <w:tc>
          <w:tcPr>
            <w:tcW w:w="552" w:type="pc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部门预决算差异率（</w:t>
            </w:r>
            <w:r>
              <w:rPr>
                <w:rFonts w:ascii="Times New Roman" w:hAnsi="Times New Roman" w:cs="Times New Roman"/>
                <w:color w:val="000000"/>
                <w:kern w:val="0"/>
                <w:sz w:val="20"/>
                <w:szCs w:val="20"/>
              </w:rPr>
              <w:t>4）</w:t>
            </w:r>
          </w:p>
        </w:tc>
        <w:tc>
          <w:tcPr>
            <w:tcW w:w="1132"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w:t>
            </w:r>
          </w:p>
        </w:tc>
        <w:tc>
          <w:tcPr>
            <w:tcW w:w="107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kern w:val="0"/>
                <w:sz w:val="20"/>
                <w:szCs w:val="20"/>
              </w:rPr>
              <w:t>19.94%</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94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r>
              <w:rPr>
                <w:rFonts w:hint="eastAsia" w:ascii="Times New Roman" w:hAnsi="Times New Roman" w:cs="Times New Roman"/>
                <w:color w:val="000000"/>
                <w:kern w:val="0"/>
                <w:sz w:val="20"/>
                <w:szCs w:val="20"/>
              </w:rPr>
              <w:t>　</w:t>
            </w:r>
          </w:p>
        </w:tc>
      </w:tr>
      <w:tr>
        <w:tblPrEx>
          <w:tblCellMar>
            <w:top w:w="0" w:type="dxa"/>
            <w:left w:w="108" w:type="dxa"/>
            <w:bottom w:w="0" w:type="dxa"/>
            <w:right w:w="108" w:type="dxa"/>
          </w:tblCellMar>
        </w:tblPrEx>
        <w:trPr>
          <w:trHeight w:val="404" w:hRule="atLeast"/>
          <w:jc w:val="center"/>
        </w:trPr>
        <w:tc>
          <w:tcPr>
            <w:tcW w:w="3089"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合计</w:t>
            </w:r>
          </w:p>
        </w:tc>
        <w:tc>
          <w:tcPr>
            <w:tcW w:w="96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100</w:t>
            </w:r>
          </w:p>
        </w:tc>
        <w:tc>
          <w:tcPr>
            <w:tcW w:w="94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94.23</w:t>
            </w:r>
          </w:p>
        </w:tc>
      </w:tr>
    </w:tbl>
    <w:p>
      <w:pPr>
        <w:pStyle w:val="5"/>
        <w:keepNext w:val="0"/>
        <w:keepLines w:val="0"/>
        <w:pageBreakBefore w:val="0"/>
        <w:widowControl w:val="0"/>
        <w:kinsoku/>
        <w:wordWrap/>
        <w:overflowPunct/>
        <w:topLinePunct w:val="0"/>
        <w:autoSpaceDE/>
        <w:autoSpaceDN/>
        <w:bidi w:val="0"/>
        <w:adjustRightInd w:val="0"/>
        <w:snapToGrid w:val="0"/>
        <w:spacing w:line="20" w:lineRule="exact"/>
        <w:ind w:left="0" w:leftChars="0" w:firstLine="0" w:firstLineChars="0"/>
        <w:textAlignment w:val="auto"/>
        <w:rPr>
          <w:rFonts w:ascii="Times New Roman" w:hAnsi="Times New Roman" w:cs="Times New Roman"/>
        </w:rPr>
      </w:pPr>
    </w:p>
    <w:sectPr>
      <w:pgSz w:w="16838" w:h="11906" w:orient="landscape"/>
      <w:pgMar w:top="1417" w:right="1417" w:bottom="1417" w:left="1417"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0000019F" w:csb1="00000000"/>
  </w:font>
  <w:font w:name="仿宋">
    <w:panose1 w:val="02010609060101010101"/>
    <w:charset w:val="86"/>
    <w:family w:val="modern"/>
    <w:pitch w:val="default"/>
    <w:sig w:usb0="800002BF" w:usb1="38CF7CFA" w:usb2="00000016" w:usb3="00000000" w:csb0="00040001" w:csb1="00000000"/>
  </w:font>
  <w:font w:name="华文宋体">
    <w:altName w:val="方正书宋_GBK"/>
    <w:panose1 w:val="02010600040101010101"/>
    <w:charset w:val="86"/>
    <w:family w:val="auto"/>
    <w:pitch w:val="default"/>
    <w:sig w:usb0="00000000" w:usb1="00000000" w:usb2="00000010" w:usb3="00000000" w:csb0="000400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Droid Sans">
    <w:altName w:val="华文中宋"/>
    <w:panose1 w:val="00000000000000000000"/>
    <w:charset w:val="00"/>
    <w:family w:val="auto"/>
    <w:pitch w:val="default"/>
    <w:sig w:usb0="00000000" w:usb1="00000000" w:usb2="00000000" w:usb3="00000000" w:csb0="00040001" w:csb1="00000000"/>
  </w:font>
  <w:font w:name="等线">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Dt23LAIAAFU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0GuWha3eWR6ho3jero4BAra6RlE6JXqt0G1tZfrJiO38576NevobLB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L0O3bcsAgAAVQQAAA4AAAAAAAAAAQAgAAAANQEAAGRy&#10;cy9lMm9Eb2MueG1sUEsFBgAAAAAGAAYAWQEAANMFAAAAAA==&#10;">
              <v:fill on="f" focussize="0,0"/>
              <v:stroke on="f" weight="0.5pt"/>
              <v:imagedata o:title=""/>
              <o:lock v:ext="edit" aspectratio="f"/>
              <v:textbox inset="0mm,0mm,0mm,0mm" style="mso-fit-shape-to-text:t;">
                <w:txbxContent>
                  <w:p>
                    <w:pPr>
                      <w:pStyle w:val="10"/>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 w:name="KSO_WPS_MARK_KEY" w:val="b2558c83-a498-4343-8e95-d6203237bf7a"/>
  </w:docVars>
  <w:rsids>
    <w:rsidRoot w:val="007D6785"/>
    <w:rsid w:val="00005402"/>
    <w:rsid w:val="000871A4"/>
    <w:rsid w:val="0009051B"/>
    <w:rsid w:val="000B1623"/>
    <w:rsid w:val="000D2303"/>
    <w:rsid w:val="0015162A"/>
    <w:rsid w:val="00171912"/>
    <w:rsid w:val="00201AB1"/>
    <w:rsid w:val="0022181C"/>
    <w:rsid w:val="00223710"/>
    <w:rsid w:val="00272F14"/>
    <w:rsid w:val="00346CC0"/>
    <w:rsid w:val="00360831"/>
    <w:rsid w:val="00380BB0"/>
    <w:rsid w:val="00386C46"/>
    <w:rsid w:val="003E391B"/>
    <w:rsid w:val="004D0CCB"/>
    <w:rsid w:val="004E42C1"/>
    <w:rsid w:val="005036CF"/>
    <w:rsid w:val="005201D4"/>
    <w:rsid w:val="00537339"/>
    <w:rsid w:val="00564281"/>
    <w:rsid w:val="00571DB5"/>
    <w:rsid w:val="005A0503"/>
    <w:rsid w:val="005D0DA8"/>
    <w:rsid w:val="005D4EEF"/>
    <w:rsid w:val="005E663A"/>
    <w:rsid w:val="005F0FCD"/>
    <w:rsid w:val="00643BE3"/>
    <w:rsid w:val="006443FB"/>
    <w:rsid w:val="00646511"/>
    <w:rsid w:val="00661A33"/>
    <w:rsid w:val="00676294"/>
    <w:rsid w:val="00686FE2"/>
    <w:rsid w:val="006D556A"/>
    <w:rsid w:val="006E04C6"/>
    <w:rsid w:val="006E69BF"/>
    <w:rsid w:val="006F43F5"/>
    <w:rsid w:val="00725F7D"/>
    <w:rsid w:val="007450CF"/>
    <w:rsid w:val="00757001"/>
    <w:rsid w:val="00774769"/>
    <w:rsid w:val="00780670"/>
    <w:rsid w:val="007C0F2D"/>
    <w:rsid w:val="007D1C5C"/>
    <w:rsid w:val="007D6785"/>
    <w:rsid w:val="007E76A9"/>
    <w:rsid w:val="00806187"/>
    <w:rsid w:val="00867929"/>
    <w:rsid w:val="00876855"/>
    <w:rsid w:val="00880E15"/>
    <w:rsid w:val="008943FF"/>
    <w:rsid w:val="008C1D42"/>
    <w:rsid w:val="008C77AA"/>
    <w:rsid w:val="008D0E95"/>
    <w:rsid w:val="008D181F"/>
    <w:rsid w:val="008D60A0"/>
    <w:rsid w:val="0094605A"/>
    <w:rsid w:val="0099754D"/>
    <w:rsid w:val="009C6F0F"/>
    <w:rsid w:val="00A422C3"/>
    <w:rsid w:val="00A82408"/>
    <w:rsid w:val="00A96A0B"/>
    <w:rsid w:val="00AE2A48"/>
    <w:rsid w:val="00B3620F"/>
    <w:rsid w:val="00B76975"/>
    <w:rsid w:val="00B8272D"/>
    <w:rsid w:val="00B8663D"/>
    <w:rsid w:val="00BE7433"/>
    <w:rsid w:val="00BF0AA0"/>
    <w:rsid w:val="00C064F3"/>
    <w:rsid w:val="00C566A9"/>
    <w:rsid w:val="00C6142E"/>
    <w:rsid w:val="00CB24D5"/>
    <w:rsid w:val="00CC1E32"/>
    <w:rsid w:val="00CD4B54"/>
    <w:rsid w:val="00CE411F"/>
    <w:rsid w:val="00CE6112"/>
    <w:rsid w:val="00D10539"/>
    <w:rsid w:val="00D27E17"/>
    <w:rsid w:val="00D32967"/>
    <w:rsid w:val="00D44F36"/>
    <w:rsid w:val="00D47743"/>
    <w:rsid w:val="00DD0C1A"/>
    <w:rsid w:val="00DD502C"/>
    <w:rsid w:val="00E15581"/>
    <w:rsid w:val="00E41BA5"/>
    <w:rsid w:val="00E56439"/>
    <w:rsid w:val="00EA40E8"/>
    <w:rsid w:val="00ED1361"/>
    <w:rsid w:val="00EE4C75"/>
    <w:rsid w:val="00F01147"/>
    <w:rsid w:val="00F31C8E"/>
    <w:rsid w:val="00F60EF3"/>
    <w:rsid w:val="00F62A3D"/>
    <w:rsid w:val="00F6676F"/>
    <w:rsid w:val="00F7434E"/>
    <w:rsid w:val="00F94CB9"/>
    <w:rsid w:val="00F96296"/>
    <w:rsid w:val="00FC600C"/>
    <w:rsid w:val="012D3C0D"/>
    <w:rsid w:val="0136557F"/>
    <w:rsid w:val="014D0938"/>
    <w:rsid w:val="0197690B"/>
    <w:rsid w:val="01B36BD0"/>
    <w:rsid w:val="021533E7"/>
    <w:rsid w:val="021A4C79"/>
    <w:rsid w:val="026305F6"/>
    <w:rsid w:val="02693733"/>
    <w:rsid w:val="028728DD"/>
    <w:rsid w:val="028C442B"/>
    <w:rsid w:val="02A12ECC"/>
    <w:rsid w:val="02DA63DE"/>
    <w:rsid w:val="03080C9B"/>
    <w:rsid w:val="031E428C"/>
    <w:rsid w:val="03603BBE"/>
    <w:rsid w:val="03EF5EB9"/>
    <w:rsid w:val="0402211D"/>
    <w:rsid w:val="041B00E5"/>
    <w:rsid w:val="04262466"/>
    <w:rsid w:val="04477AA3"/>
    <w:rsid w:val="049C22B4"/>
    <w:rsid w:val="04A8301E"/>
    <w:rsid w:val="04F347BB"/>
    <w:rsid w:val="056F6202"/>
    <w:rsid w:val="0588240A"/>
    <w:rsid w:val="05C84A45"/>
    <w:rsid w:val="05D80A00"/>
    <w:rsid w:val="05EF3F4F"/>
    <w:rsid w:val="0692095D"/>
    <w:rsid w:val="06A411DD"/>
    <w:rsid w:val="06AC0092"/>
    <w:rsid w:val="06D97C66"/>
    <w:rsid w:val="06E61600"/>
    <w:rsid w:val="0711304F"/>
    <w:rsid w:val="071952B1"/>
    <w:rsid w:val="07344457"/>
    <w:rsid w:val="07500A1D"/>
    <w:rsid w:val="07887E31"/>
    <w:rsid w:val="078E1545"/>
    <w:rsid w:val="079C0106"/>
    <w:rsid w:val="07E04497"/>
    <w:rsid w:val="08275C22"/>
    <w:rsid w:val="084154A6"/>
    <w:rsid w:val="08887282"/>
    <w:rsid w:val="08EE327C"/>
    <w:rsid w:val="08F508DC"/>
    <w:rsid w:val="0903613F"/>
    <w:rsid w:val="09066E3B"/>
    <w:rsid w:val="09081C12"/>
    <w:rsid w:val="0911242E"/>
    <w:rsid w:val="09164D97"/>
    <w:rsid w:val="09315A3B"/>
    <w:rsid w:val="09880942"/>
    <w:rsid w:val="0A125B31"/>
    <w:rsid w:val="0A342F3A"/>
    <w:rsid w:val="0A6C0264"/>
    <w:rsid w:val="0A783040"/>
    <w:rsid w:val="0A8E7105"/>
    <w:rsid w:val="0AF0679F"/>
    <w:rsid w:val="0B0F707B"/>
    <w:rsid w:val="0B1C1167"/>
    <w:rsid w:val="0B36617C"/>
    <w:rsid w:val="0B771721"/>
    <w:rsid w:val="0BCF0AAA"/>
    <w:rsid w:val="0BE63156"/>
    <w:rsid w:val="0BE70C1B"/>
    <w:rsid w:val="0BE971FB"/>
    <w:rsid w:val="0C210BDA"/>
    <w:rsid w:val="0C48085D"/>
    <w:rsid w:val="0C620578"/>
    <w:rsid w:val="0C6D2071"/>
    <w:rsid w:val="0C965124"/>
    <w:rsid w:val="0CC55A09"/>
    <w:rsid w:val="0D2C7CA1"/>
    <w:rsid w:val="0D3E75A2"/>
    <w:rsid w:val="0D505C1B"/>
    <w:rsid w:val="0D613984"/>
    <w:rsid w:val="0D76754C"/>
    <w:rsid w:val="0D8A418C"/>
    <w:rsid w:val="0DD310D5"/>
    <w:rsid w:val="0DE97231"/>
    <w:rsid w:val="0E6B11ED"/>
    <w:rsid w:val="0E866236"/>
    <w:rsid w:val="0E8F4521"/>
    <w:rsid w:val="0E925105"/>
    <w:rsid w:val="0EA55AF2"/>
    <w:rsid w:val="0EF9352D"/>
    <w:rsid w:val="0EFA5A8F"/>
    <w:rsid w:val="0F356EB3"/>
    <w:rsid w:val="0F3B1FB3"/>
    <w:rsid w:val="0F631F06"/>
    <w:rsid w:val="100919D4"/>
    <w:rsid w:val="101747CE"/>
    <w:rsid w:val="101F79F8"/>
    <w:rsid w:val="10440973"/>
    <w:rsid w:val="109918B7"/>
    <w:rsid w:val="10A36062"/>
    <w:rsid w:val="10E20F57"/>
    <w:rsid w:val="113E071E"/>
    <w:rsid w:val="11A42091"/>
    <w:rsid w:val="11A4661F"/>
    <w:rsid w:val="11E466CA"/>
    <w:rsid w:val="11E5113A"/>
    <w:rsid w:val="11F31F18"/>
    <w:rsid w:val="1231466D"/>
    <w:rsid w:val="12420640"/>
    <w:rsid w:val="126161D4"/>
    <w:rsid w:val="128F716E"/>
    <w:rsid w:val="12DA1AE3"/>
    <w:rsid w:val="12E74B76"/>
    <w:rsid w:val="13080DA0"/>
    <w:rsid w:val="130955DD"/>
    <w:rsid w:val="135B0E75"/>
    <w:rsid w:val="13830CE4"/>
    <w:rsid w:val="13841C8E"/>
    <w:rsid w:val="13A23D92"/>
    <w:rsid w:val="13D11A17"/>
    <w:rsid w:val="13D205F7"/>
    <w:rsid w:val="13FF3EF7"/>
    <w:rsid w:val="140D3F19"/>
    <w:rsid w:val="143F310F"/>
    <w:rsid w:val="1457788F"/>
    <w:rsid w:val="148F69A8"/>
    <w:rsid w:val="149A7408"/>
    <w:rsid w:val="14A54C34"/>
    <w:rsid w:val="14E80EFC"/>
    <w:rsid w:val="14EA24B1"/>
    <w:rsid w:val="15001CD4"/>
    <w:rsid w:val="151426B6"/>
    <w:rsid w:val="158D108E"/>
    <w:rsid w:val="159B361E"/>
    <w:rsid w:val="15A9236C"/>
    <w:rsid w:val="161C0D90"/>
    <w:rsid w:val="16320DD1"/>
    <w:rsid w:val="16C74B4B"/>
    <w:rsid w:val="17207D2D"/>
    <w:rsid w:val="1749126A"/>
    <w:rsid w:val="174E0155"/>
    <w:rsid w:val="17575DF8"/>
    <w:rsid w:val="176C3651"/>
    <w:rsid w:val="176E6A50"/>
    <w:rsid w:val="17946704"/>
    <w:rsid w:val="17AE4546"/>
    <w:rsid w:val="17C86F3B"/>
    <w:rsid w:val="17DE4593"/>
    <w:rsid w:val="18027B12"/>
    <w:rsid w:val="183323C1"/>
    <w:rsid w:val="184D42A1"/>
    <w:rsid w:val="188624F1"/>
    <w:rsid w:val="18A137CE"/>
    <w:rsid w:val="1933222E"/>
    <w:rsid w:val="19352312"/>
    <w:rsid w:val="197113F3"/>
    <w:rsid w:val="198130D3"/>
    <w:rsid w:val="19B60BB4"/>
    <w:rsid w:val="19CD75E3"/>
    <w:rsid w:val="1A0D396F"/>
    <w:rsid w:val="1A283E8D"/>
    <w:rsid w:val="1A540A14"/>
    <w:rsid w:val="1A8B2040"/>
    <w:rsid w:val="1B4E2689"/>
    <w:rsid w:val="1B7E030B"/>
    <w:rsid w:val="1B9F1E63"/>
    <w:rsid w:val="1BB235FD"/>
    <w:rsid w:val="1BE30473"/>
    <w:rsid w:val="1C0814DE"/>
    <w:rsid w:val="1C2362A8"/>
    <w:rsid w:val="1C4701E9"/>
    <w:rsid w:val="1C7F5BD5"/>
    <w:rsid w:val="1CDF0421"/>
    <w:rsid w:val="1CE974F2"/>
    <w:rsid w:val="1CF00444"/>
    <w:rsid w:val="1D37451A"/>
    <w:rsid w:val="1D6152DA"/>
    <w:rsid w:val="1D7F165B"/>
    <w:rsid w:val="1DB775F0"/>
    <w:rsid w:val="1DB96EC4"/>
    <w:rsid w:val="1DF15646"/>
    <w:rsid w:val="1E0F5E35"/>
    <w:rsid w:val="1E161E6D"/>
    <w:rsid w:val="1E164317"/>
    <w:rsid w:val="1E2A6B10"/>
    <w:rsid w:val="1E3E60DC"/>
    <w:rsid w:val="1E4E1D03"/>
    <w:rsid w:val="1E777120"/>
    <w:rsid w:val="1E862EF4"/>
    <w:rsid w:val="1EC437F2"/>
    <w:rsid w:val="1ED81C68"/>
    <w:rsid w:val="1EDF295B"/>
    <w:rsid w:val="1F457AFE"/>
    <w:rsid w:val="1F78690B"/>
    <w:rsid w:val="1F841754"/>
    <w:rsid w:val="1F947BE9"/>
    <w:rsid w:val="1FAE30E0"/>
    <w:rsid w:val="1FC36A1C"/>
    <w:rsid w:val="1FC45D59"/>
    <w:rsid w:val="1FD2799A"/>
    <w:rsid w:val="1FD6287E"/>
    <w:rsid w:val="1FE53EC9"/>
    <w:rsid w:val="20104D96"/>
    <w:rsid w:val="20307B90"/>
    <w:rsid w:val="20322B96"/>
    <w:rsid w:val="20484530"/>
    <w:rsid w:val="205253AE"/>
    <w:rsid w:val="205E4012"/>
    <w:rsid w:val="20691AE9"/>
    <w:rsid w:val="20C91B14"/>
    <w:rsid w:val="20E042E3"/>
    <w:rsid w:val="210963B5"/>
    <w:rsid w:val="21853E1D"/>
    <w:rsid w:val="21865F9D"/>
    <w:rsid w:val="21983295"/>
    <w:rsid w:val="21A25EC1"/>
    <w:rsid w:val="21BC1547"/>
    <w:rsid w:val="21DA4ABB"/>
    <w:rsid w:val="22B61C24"/>
    <w:rsid w:val="22D64075"/>
    <w:rsid w:val="22F50ADD"/>
    <w:rsid w:val="231F2C22"/>
    <w:rsid w:val="233020BA"/>
    <w:rsid w:val="233D75AE"/>
    <w:rsid w:val="235C70B5"/>
    <w:rsid w:val="235F406A"/>
    <w:rsid w:val="23616034"/>
    <w:rsid w:val="23710B87"/>
    <w:rsid w:val="23C71027"/>
    <w:rsid w:val="23CC02AC"/>
    <w:rsid w:val="23D205A6"/>
    <w:rsid w:val="24156E1F"/>
    <w:rsid w:val="24945F95"/>
    <w:rsid w:val="249613B2"/>
    <w:rsid w:val="24A57160"/>
    <w:rsid w:val="24DE4B1F"/>
    <w:rsid w:val="24DE749B"/>
    <w:rsid w:val="24E91459"/>
    <w:rsid w:val="24E97CFF"/>
    <w:rsid w:val="254D07E6"/>
    <w:rsid w:val="255C7FE1"/>
    <w:rsid w:val="256519A2"/>
    <w:rsid w:val="25742628"/>
    <w:rsid w:val="259039CA"/>
    <w:rsid w:val="25E1345C"/>
    <w:rsid w:val="25E940BF"/>
    <w:rsid w:val="25FE66C4"/>
    <w:rsid w:val="26066470"/>
    <w:rsid w:val="262C30C2"/>
    <w:rsid w:val="265B21B1"/>
    <w:rsid w:val="267D1D46"/>
    <w:rsid w:val="26BE19EF"/>
    <w:rsid w:val="26DF7E7B"/>
    <w:rsid w:val="26EA3A6D"/>
    <w:rsid w:val="2704151B"/>
    <w:rsid w:val="27351219"/>
    <w:rsid w:val="273870AC"/>
    <w:rsid w:val="27424FFB"/>
    <w:rsid w:val="276E2933"/>
    <w:rsid w:val="27CD5BB9"/>
    <w:rsid w:val="27D25752"/>
    <w:rsid w:val="27D330EA"/>
    <w:rsid w:val="27D53816"/>
    <w:rsid w:val="27E77AE7"/>
    <w:rsid w:val="282615FA"/>
    <w:rsid w:val="28380E74"/>
    <w:rsid w:val="286363AA"/>
    <w:rsid w:val="287A0BD4"/>
    <w:rsid w:val="288250C4"/>
    <w:rsid w:val="28844BDA"/>
    <w:rsid w:val="2885743B"/>
    <w:rsid w:val="28A23BDF"/>
    <w:rsid w:val="28BD3CC7"/>
    <w:rsid w:val="28E53263"/>
    <w:rsid w:val="28FF1AFF"/>
    <w:rsid w:val="291649BF"/>
    <w:rsid w:val="295D104C"/>
    <w:rsid w:val="29606D8E"/>
    <w:rsid w:val="296E5E5C"/>
    <w:rsid w:val="29792165"/>
    <w:rsid w:val="29982084"/>
    <w:rsid w:val="29B325F3"/>
    <w:rsid w:val="29EC3C5D"/>
    <w:rsid w:val="29FE7842"/>
    <w:rsid w:val="2A2D479B"/>
    <w:rsid w:val="2A3F4BF5"/>
    <w:rsid w:val="2A7F1496"/>
    <w:rsid w:val="2A914885"/>
    <w:rsid w:val="2AA1765E"/>
    <w:rsid w:val="2B036FBE"/>
    <w:rsid w:val="2B4C75CA"/>
    <w:rsid w:val="2B99075C"/>
    <w:rsid w:val="2BFF9264"/>
    <w:rsid w:val="2C027C88"/>
    <w:rsid w:val="2C4068EE"/>
    <w:rsid w:val="2C732934"/>
    <w:rsid w:val="2CAF1529"/>
    <w:rsid w:val="2CBE2F09"/>
    <w:rsid w:val="2CCB1056"/>
    <w:rsid w:val="2CCE35E6"/>
    <w:rsid w:val="2CD817D0"/>
    <w:rsid w:val="2D7365FC"/>
    <w:rsid w:val="2D7C1444"/>
    <w:rsid w:val="2D832FD8"/>
    <w:rsid w:val="2D893089"/>
    <w:rsid w:val="2DB02848"/>
    <w:rsid w:val="2DB6291E"/>
    <w:rsid w:val="2DBF1FE1"/>
    <w:rsid w:val="2DC94A10"/>
    <w:rsid w:val="2DEC299E"/>
    <w:rsid w:val="2DF61A6F"/>
    <w:rsid w:val="2E0A17C8"/>
    <w:rsid w:val="2E1747BF"/>
    <w:rsid w:val="2E5F1DFB"/>
    <w:rsid w:val="2E7A59BF"/>
    <w:rsid w:val="2E7FDD23"/>
    <w:rsid w:val="2EC35DF5"/>
    <w:rsid w:val="2F386E4E"/>
    <w:rsid w:val="2F6A66CC"/>
    <w:rsid w:val="2F8559C6"/>
    <w:rsid w:val="2FFB0411"/>
    <w:rsid w:val="300B3846"/>
    <w:rsid w:val="30182170"/>
    <w:rsid w:val="302208F9"/>
    <w:rsid w:val="302C2A31"/>
    <w:rsid w:val="303F12A1"/>
    <w:rsid w:val="30784547"/>
    <w:rsid w:val="309A2B85"/>
    <w:rsid w:val="30E3452C"/>
    <w:rsid w:val="313308E4"/>
    <w:rsid w:val="313B21E2"/>
    <w:rsid w:val="31436D79"/>
    <w:rsid w:val="314B0E46"/>
    <w:rsid w:val="317437AE"/>
    <w:rsid w:val="317A6513"/>
    <w:rsid w:val="319455CF"/>
    <w:rsid w:val="31A55C86"/>
    <w:rsid w:val="31C17E9C"/>
    <w:rsid w:val="31CE1418"/>
    <w:rsid w:val="31D9148B"/>
    <w:rsid w:val="31DC71A3"/>
    <w:rsid w:val="31F65BC5"/>
    <w:rsid w:val="323B2146"/>
    <w:rsid w:val="3244724D"/>
    <w:rsid w:val="324A2389"/>
    <w:rsid w:val="32611CF5"/>
    <w:rsid w:val="327328FA"/>
    <w:rsid w:val="328E54AC"/>
    <w:rsid w:val="3295408B"/>
    <w:rsid w:val="32D84C31"/>
    <w:rsid w:val="32E45099"/>
    <w:rsid w:val="33192CF9"/>
    <w:rsid w:val="331E75B3"/>
    <w:rsid w:val="33406F8F"/>
    <w:rsid w:val="33A87367"/>
    <w:rsid w:val="33C17097"/>
    <w:rsid w:val="341E29A6"/>
    <w:rsid w:val="345E437D"/>
    <w:rsid w:val="346040E6"/>
    <w:rsid w:val="34900A87"/>
    <w:rsid w:val="34FF467C"/>
    <w:rsid w:val="35042BAA"/>
    <w:rsid w:val="35221DC7"/>
    <w:rsid w:val="35667733"/>
    <w:rsid w:val="35CF10F5"/>
    <w:rsid w:val="367A2F91"/>
    <w:rsid w:val="369F01B4"/>
    <w:rsid w:val="36AF0E01"/>
    <w:rsid w:val="370419F2"/>
    <w:rsid w:val="3727621C"/>
    <w:rsid w:val="374A2DC4"/>
    <w:rsid w:val="37655186"/>
    <w:rsid w:val="377203B8"/>
    <w:rsid w:val="378E20E3"/>
    <w:rsid w:val="37DA26B9"/>
    <w:rsid w:val="3825367C"/>
    <w:rsid w:val="38303DCF"/>
    <w:rsid w:val="387D3C57"/>
    <w:rsid w:val="38D73E1E"/>
    <w:rsid w:val="38D961FA"/>
    <w:rsid w:val="39110269"/>
    <w:rsid w:val="39431675"/>
    <w:rsid w:val="39493F52"/>
    <w:rsid w:val="39560721"/>
    <w:rsid w:val="397B72CC"/>
    <w:rsid w:val="397D3578"/>
    <w:rsid w:val="39977EC9"/>
    <w:rsid w:val="39E3559D"/>
    <w:rsid w:val="39ED1F78"/>
    <w:rsid w:val="3A36178F"/>
    <w:rsid w:val="3A3A2CE3"/>
    <w:rsid w:val="3A4E3759"/>
    <w:rsid w:val="3A747227"/>
    <w:rsid w:val="3AAA7C2D"/>
    <w:rsid w:val="3AAC011D"/>
    <w:rsid w:val="3ACB39EB"/>
    <w:rsid w:val="3B651FE2"/>
    <w:rsid w:val="3B7C7FAD"/>
    <w:rsid w:val="3B8B7C9A"/>
    <w:rsid w:val="3B9F54F4"/>
    <w:rsid w:val="3BB464FC"/>
    <w:rsid w:val="3BB7098A"/>
    <w:rsid w:val="3BC86A80"/>
    <w:rsid w:val="3BF026A0"/>
    <w:rsid w:val="3BF27D19"/>
    <w:rsid w:val="3C4F68A8"/>
    <w:rsid w:val="3C6A5B02"/>
    <w:rsid w:val="3C8F30AA"/>
    <w:rsid w:val="3C9017B0"/>
    <w:rsid w:val="3C9B0B42"/>
    <w:rsid w:val="3CEB3167"/>
    <w:rsid w:val="3CF372D2"/>
    <w:rsid w:val="3D4268E3"/>
    <w:rsid w:val="3D580F58"/>
    <w:rsid w:val="3D7B5AED"/>
    <w:rsid w:val="3D84074D"/>
    <w:rsid w:val="3D9E2296"/>
    <w:rsid w:val="3DF91963"/>
    <w:rsid w:val="3DFC4E7F"/>
    <w:rsid w:val="3DFF4D46"/>
    <w:rsid w:val="3E194BC1"/>
    <w:rsid w:val="3E5F25DA"/>
    <w:rsid w:val="3E67693F"/>
    <w:rsid w:val="3E6F30B6"/>
    <w:rsid w:val="3E9D6842"/>
    <w:rsid w:val="3EB0426F"/>
    <w:rsid w:val="3EDE6333"/>
    <w:rsid w:val="3F012A8A"/>
    <w:rsid w:val="3F2750C8"/>
    <w:rsid w:val="3F4E4CEA"/>
    <w:rsid w:val="3F5B33C0"/>
    <w:rsid w:val="3F693EB8"/>
    <w:rsid w:val="3F7DE585"/>
    <w:rsid w:val="3F9E2596"/>
    <w:rsid w:val="3FC97212"/>
    <w:rsid w:val="3FE034BE"/>
    <w:rsid w:val="400224F5"/>
    <w:rsid w:val="401D10DD"/>
    <w:rsid w:val="40322DDA"/>
    <w:rsid w:val="40B61873"/>
    <w:rsid w:val="4114603C"/>
    <w:rsid w:val="41272213"/>
    <w:rsid w:val="416C231C"/>
    <w:rsid w:val="41721A73"/>
    <w:rsid w:val="41741ECE"/>
    <w:rsid w:val="418331C2"/>
    <w:rsid w:val="41BC1BB4"/>
    <w:rsid w:val="42040BEF"/>
    <w:rsid w:val="421B164C"/>
    <w:rsid w:val="423C2C7E"/>
    <w:rsid w:val="42701998"/>
    <w:rsid w:val="42766D75"/>
    <w:rsid w:val="42D31F27"/>
    <w:rsid w:val="42F14FC3"/>
    <w:rsid w:val="43040332"/>
    <w:rsid w:val="430B0051"/>
    <w:rsid w:val="43294721"/>
    <w:rsid w:val="43641051"/>
    <w:rsid w:val="43677726"/>
    <w:rsid w:val="437439A1"/>
    <w:rsid w:val="43976215"/>
    <w:rsid w:val="43D90816"/>
    <w:rsid w:val="43FB34E3"/>
    <w:rsid w:val="440A3726"/>
    <w:rsid w:val="445157F9"/>
    <w:rsid w:val="44550E45"/>
    <w:rsid w:val="44AF3321"/>
    <w:rsid w:val="44B80D28"/>
    <w:rsid w:val="44BD3C53"/>
    <w:rsid w:val="44CF4C4B"/>
    <w:rsid w:val="44FA379B"/>
    <w:rsid w:val="453C2005"/>
    <w:rsid w:val="454964D0"/>
    <w:rsid w:val="454D4439"/>
    <w:rsid w:val="45554E75"/>
    <w:rsid w:val="45791519"/>
    <w:rsid w:val="45B70BAF"/>
    <w:rsid w:val="45BA0898"/>
    <w:rsid w:val="461068B4"/>
    <w:rsid w:val="4645313C"/>
    <w:rsid w:val="469E3AD1"/>
    <w:rsid w:val="46B75DE7"/>
    <w:rsid w:val="46BC102E"/>
    <w:rsid w:val="46F62A7D"/>
    <w:rsid w:val="46F85025"/>
    <w:rsid w:val="47094A53"/>
    <w:rsid w:val="470D6029"/>
    <w:rsid w:val="477041E8"/>
    <w:rsid w:val="4780267D"/>
    <w:rsid w:val="47953C4F"/>
    <w:rsid w:val="4799478F"/>
    <w:rsid w:val="47C3256A"/>
    <w:rsid w:val="48015AC8"/>
    <w:rsid w:val="48272928"/>
    <w:rsid w:val="48284AC3"/>
    <w:rsid w:val="48362D3C"/>
    <w:rsid w:val="48381158"/>
    <w:rsid w:val="484505CA"/>
    <w:rsid w:val="484C2CA3"/>
    <w:rsid w:val="488C73A1"/>
    <w:rsid w:val="48A24875"/>
    <w:rsid w:val="48AC5D02"/>
    <w:rsid w:val="48D13F03"/>
    <w:rsid w:val="48FF325B"/>
    <w:rsid w:val="494A4DFF"/>
    <w:rsid w:val="496547AD"/>
    <w:rsid w:val="49675177"/>
    <w:rsid w:val="49784744"/>
    <w:rsid w:val="49B546C3"/>
    <w:rsid w:val="49C34AA3"/>
    <w:rsid w:val="49C902C5"/>
    <w:rsid w:val="49CB1FB5"/>
    <w:rsid w:val="4A0F10CE"/>
    <w:rsid w:val="4A1672C9"/>
    <w:rsid w:val="4A1746C8"/>
    <w:rsid w:val="4A175E73"/>
    <w:rsid w:val="4A477482"/>
    <w:rsid w:val="4A633B90"/>
    <w:rsid w:val="4A6C5A80"/>
    <w:rsid w:val="4A9511A8"/>
    <w:rsid w:val="4AB078ED"/>
    <w:rsid w:val="4ADB406F"/>
    <w:rsid w:val="4B4A62F4"/>
    <w:rsid w:val="4B694D13"/>
    <w:rsid w:val="4B6B71A0"/>
    <w:rsid w:val="4BF95768"/>
    <w:rsid w:val="4C1573A3"/>
    <w:rsid w:val="4C520360"/>
    <w:rsid w:val="4C9B1D07"/>
    <w:rsid w:val="4CA62F12"/>
    <w:rsid w:val="4CF95355"/>
    <w:rsid w:val="4D113753"/>
    <w:rsid w:val="4D1B2795"/>
    <w:rsid w:val="4D203FBB"/>
    <w:rsid w:val="4DA641B8"/>
    <w:rsid w:val="4DB72B71"/>
    <w:rsid w:val="4DBF18E4"/>
    <w:rsid w:val="4DF914D1"/>
    <w:rsid w:val="4E1368CA"/>
    <w:rsid w:val="4E2D63F2"/>
    <w:rsid w:val="4E3B6988"/>
    <w:rsid w:val="4E4168DE"/>
    <w:rsid w:val="4EC8490A"/>
    <w:rsid w:val="4EE51018"/>
    <w:rsid w:val="4EF10FC7"/>
    <w:rsid w:val="4F4246BC"/>
    <w:rsid w:val="4F561542"/>
    <w:rsid w:val="4F734876"/>
    <w:rsid w:val="4F7F8C32"/>
    <w:rsid w:val="4F956BF2"/>
    <w:rsid w:val="4FA74FBE"/>
    <w:rsid w:val="4FC57BED"/>
    <w:rsid w:val="4FDBFDED"/>
    <w:rsid w:val="500B1C51"/>
    <w:rsid w:val="503A5202"/>
    <w:rsid w:val="50C75279"/>
    <w:rsid w:val="50F245AF"/>
    <w:rsid w:val="50F45001"/>
    <w:rsid w:val="51907AB3"/>
    <w:rsid w:val="51D06181"/>
    <w:rsid w:val="52273F7A"/>
    <w:rsid w:val="523F3135"/>
    <w:rsid w:val="52592449"/>
    <w:rsid w:val="52AF2F8E"/>
    <w:rsid w:val="52D618F7"/>
    <w:rsid w:val="531C5FF6"/>
    <w:rsid w:val="53226F6B"/>
    <w:rsid w:val="53344B94"/>
    <w:rsid w:val="533802B0"/>
    <w:rsid w:val="533F47B1"/>
    <w:rsid w:val="53500458"/>
    <w:rsid w:val="539B4F9B"/>
    <w:rsid w:val="53DE04A5"/>
    <w:rsid w:val="53E82F40"/>
    <w:rsid w:val="5401121D"/>
    <w:rsid w:val="541008E5"/>
    <w:rsid w:val="54106B37"/>
    <w:rsid w:val="54177B57"/>
    <w:rsid w:val="547B0ED4"/>
    <w:rsid w:val="547F49C7"/>
    <w:rsid w:val="54D75DEE"/>
    <w:rsid w:val="54ED7E1B"/>
    <w:rsid w:val="552742FF"/>
    <w:rsid w:val="55402630"/>
    <w:rsid w:val="55563836"/>
    <w:rsid w:val="556A60F5"/>
    <w:rsid w:val="556C6834"/>
    <w:rsid w:val="55735DDC"/>
    <w:rsid w:val="55775434"/>
    <w:rsid w:val="55894DF3"/>
    <w:rsid w:val="55F942A7"/>
    <w:rsid w:val="566D0DDB"/>
    <w:rsid w:val="566D4183"/>
    <w:rsid w:val="56985AE3"/>
    <w:rsid w:val="56B23ED5"/>
    <w:rsid w:val="56B24434"/>
    <w:rsid w:val="56B82DE4"/>
    <w:rsid w:val="5703167F"/>
    <w:rsid w:val="570B7A8A"/>
    <w:rsid w:val="57617B28"/>
    <w:rsid w:val="5767467E"/>
    <w:rsid w:val="57720E96"/>
    <w:rsid w:val="57CE6149"/>
    <w:rsid w:val="57F24F2A"/>
    <w:rsid w:val="58472652"/>
    <w:rsid w:val="584B3F6A"/>
    <w:rsid w:val="58624CFD"/>
    <w:rsid w:val="586B07E0"/>
    <w:rsid w:val="586C784F"/>
    <w:rsid w:val="58821B71"/>
    <w:rsid w:val="58922210"/>
    <w:rsid w:val="58C90949"/>
    <w:rsid w:val="5967369D"/>
    <w:rsid w:val="596A4A22"/>
    <w:rsid w:val="597A437C"/>
    <w:rsid w:val="59BC3D40"/>
    <w:rsid w:val="59FD1400"/>
    <w:rsid w:val="5A032C9A"/>
    <w:rsid w:val="5A4B3BC7"/>
    <w:rsid w:val="5A796407"/>
    <w:rsid w:val="5AD430E1"/>
    <w:rsid w:val="5AF57843"/>
    <w:rsid w:val="5AFB7334"/>
    <w:rsid w:val="5B2353A2"/>
    <w:rsid w:val="5B390072"/>
    <w:rsid w:val="5B417B48"/>
    <w:rsid w:val="5B490B80"/>
    <w:rsid w:val="5B4B48F9"/>
    <w:rsid w:val="5B602B8D"/>
    <w:rsid w:val="5BBA00DF"/>
    <w:rsid w:val="5BDE8CAD"/>
    <w:rsid w:val="5C031F8B"/>
    <w:rsid w:val="5C361105"/>
    <w:rsid w:val="5CB93880"/>
    <w:rsid w:val="5CE5510F"/>
    <w:rsid w:val="5CF60894"/>
    <w:rsid w:val="5D563A15"/>
    <w:rsid w:val="5DCB3ACF"/>
    <w:rsid w:val="5DE51034"/>
    <w:rsid w:val="5DF41277"/>
    <w:rsid w:val="5E007C1C"/>
    <w:rsid w:val="5EB95AC9"/>
    <w:rsid w:val="5EE57718"/>
    <w:rsid w:val="5EEBD797"/>
    <w:rsid w:val="5EF50FBB"/>
    <w:rsid w:val="5EFF0B6D"/>
    <w:rsid w:val="5F856503"/>
    <w:rsid w:val="5F97010C"/>
    <w:rsid w:val="5FCD7FD2"/>
    <w:rsid w:val="5FD03A95"/>
    <w:rsid w:val="5FEF163E"/>
    <w:rsid w:val="5FF70DC1"/>
    <w:rsid w:val="5FF9AD92"/>
    <w:rsid w:val="5FFE29E0"/>
    <w:rsid w:val="60432042"/>
    <w:rsid w:val="607A09C6"/>
    <w:rsid w:val="608A1736"/>
    <w:rsid w:val="609B59DA"/>
    <w:rsid w:val="609F4FE8"/>
    <w:rsid w:val="60A56859"/>
    <w:rsid w:val="613253CF"/>
    <w:rsid w:val="613F0A5C"/>
    <w:rsid w:val="61406D63"/>
    <w:rsid w:val="615727D0"/>
    <w:rsid w:val="61D309C1"/>
    <w:rsid w:val="61F657B8"/>
    <w:rsid w:val="622D5A78"/>
    <w:rsid w:val="62333B94"/>
    <w:rsid w:val="62455EA3"/>
    <w:rsid w:val="62555998"/>
    <w:rsid w:val="625C73EB"/>
    <w:rsid w:val="627F5657"/>
    <w:rsid w:val="629B6165"/>
    <w:rsid w:val="62A10321"/>
    <w:rsid w:val="62A3326C"/>
    <w:rsid w:val="62F13FD7"/>
    <w:rsid w:val="62FF591F"/>
    <w:rsid w:val="63644067"/>
    <w:rsid w:val="63846BFA"/>
    <w:rsid w:val="63C04E0D"/>
    <w:rsid w:val="63FF8FC1"/>
    <w:rsid w:val="64177A6E"/>
    <w:rsid w:val="645D0076"/>
    <w:rsid w:val="64816C98"/>
    <w:rsid w:val="64CF7A0B"/>
    <w:rsid w:val="64E5439B"/>
    <w:rsid w:val="65224702"/>
    <w:rsid w:val="65336B29"/>
    <w:rsid w:val="65654A4E"/>
    <w:rsid w:val="65896749"/>
    <w:rsid w:val="65CA501B"/>
    <w:rsid w:val="65DE7033"/>
    <w:rsid w:val="65E72516"/>
    <w:rsid w:val="65FD36E8"/>
    <w:rsid w:val="661448C9"/>
    <w:rsid w:val="665723A3"/>
    <w:rsid w:val="666844C2"/>
    <w:rsid w:val="667E5B82"/>
    <w:rsid w:val="66985D66"/>
    <w:rsid w:val="66A51361"/>
    <w:rsid w:val="66AE5CE5"/>
    <w:rsid w:val="66C56598"/>
    <w:rsid w:val="67417566"/>
    <w:rsid w:val="67550FD9"/>
    <w:rsid w:val="677476CC"/>
    <w:rsid w:val="678C7DEF"/>
    <w:rsid w:val="67AA29A7"/>
    <w:rsid w:val="67CD03F8"/>
    <w:rsid w:val="67DF4E1C"/>
    <w:rsid w:val="67FA392E"/>
    <w:rsid w:val="685D09D5"/>
    <w:rsid w:val="68AF296B"/>
    <w:rsid w:val="68C02A57"/>
    <w:rsid w:val="68DB3246"/>
    <w:rsid w:val="68F4037D"/>
    <w:rsid w:val="690A4E0D"/>
    <w:rsid w:val="69D911D4"/>
    <w:rsid w:val="6A0F02FF"/>
    <w:rsid w:val="6A211646"/>
    <w:rsid w:val="6A56439B"/>
    <w:rsid w:val="6AA9734A"/>
    <w:rsid w:val="6B0D3978"/>
    <w:rsid w:val="6B317066"/>
    <w:rsid w:val="6B537E5F"/>
    <w:rsid w:val="6B6F4633"/>
    <w:rsid w:val="6B741C1B"/>
    <w:rsid w:val="6BFD579B"/>
    <w:rsid w:val="6BFF0A82"/>
    <w:rsid w:val="6BFFF9EC"/>
    <w:rsid w:val="6C1E4E98"/>
    <w:rsid w:val="6C38544E"/>
    <w:rsid w:val="6C423325"/>
    <w:rsid w:val="6C4A702C"/>
    <w:rsid w:val="6C5C439A"/>
    <w:rsid w:val="6CB26F14"/>
    <w:rsid w:val="6CF05300"/>
    <w:rsid w:val="6CF97917"/>
    <w:rsid w:val="6D26034E"/>
    <w:rsid w:val="6D3276C6"/>
    <w:rsid w:val="6D532791"/>
    <w:rsid w:val="6D561607"/>
    <w:rsid w:val="6D74674E"/>
    <w:rsid w:val="6D9B2BEF"/>
    <w:rsid w:val="6DE71698"/>
    <w:rsid w:val="6E09514E"/>
    <w:rsid w:val="6E9323E7"/>
    <w:rsid w:val="6E9A79E9"/>
    <w:rsid w:val="6EA91C0A"/>
    <w:rsid w:val="6ED0363B"/>
    <w:rsid w:val="6EDD3662"/>
    <w:rsid w:val="6EE42C42"/>
    <w:rsid w:val="6EEF1D13"/>
    <w:rsid w:val="6EF50C78"/>
    <w:rsid w:val="6EF75494"/>
    <w:rsid w:val="6F1304BA"/>
    <w:rsid w:val="6F433ACB"/>
    <w:rsid w:val="6F4F630E"/>
    <w:rsid w:val="6F535404"/>
    <w:rsid w:val="6F779575"/>
    <w:rsid w:val="6F7B0AEA"/>
    <w:rsid w:val="6FA91F61"/>
    <w:rsid w:val="6FBF09BD"/>
    <w:rsid w:val="6FC34F4E"/>
    <w:rsid w:val="6FDDD51C"/>
    <w:rsid w:val="6FDF7293"/>
    <w:rsid w:val="6FE506ED"/>
    <w:rsid w:val="6FEFB90B"/>
    <w:rsid w:val="6FF7569C"/>
    <w:rsid w:val="6FF9E0C1"/>
    <w:rsid w:val="6FFE3B3E"/>
    <w:rsid w:val="70065A31"/>
    <w:rsid w:val="701D2C39"/>
    <w:rsid w:val="70270955"/>
    <w:rsid w:val="70365454"/>
    <w:rsid w:val="703B0F88"/>
    <w:rsid w:val="70536B84"/>
    <w:rsid w:val="706C2AAB"/>
    <w:rsid w:val="70A450A0"/>
    <w:rsid w:val="70B145DB"/>
    <w:rsid w:val="70EF5EDC"/>
    <w:rsid w:val="71324139"/>
    <w:rsid w:val="71584144"/>
    <w:rsid w:val="71AB7A47"/>
    <w:rsid w:val="72361A07"/>
    <w:rsid w:val="72474784"/>
    <w:rsid w:val="72676064"/>
    <w:rsid w:val="727214D3"/>
    <w:rsid w:val="72B65C67"/>
    <w:rsid w:val="72EC0AC5"/>
    <w:rsid w:val="72FA6ED8"/>
    <w:rsid w:val="738C1A2B"/>
    <w:rsid w:val="73B057E9"/>
    <w:rsid w:val="73B25989"/>
    <w:rsid w:val="73F62C83"/>
    <w:rsid w:val="740D4F28"/>
    <w:rsid w:val="745052D9"/>
    <w:rsid w:val="74C4449F"/>
    <w:rsid w:val="74DC5EBB"/>
    <w:rsid w:val="74EF29BE"/>
    <w:rsid w:val="74FA31C0"/>
    <w:rsid w:val="75047B9A"/>
    <w:rsid w:val="7524E274"/>
    <w:rsid w:val="75422471"/>
    <w:rsid w:val="75542FDE"/>
    <w:rsid w:val="7577C333"/>
    <w:rsid w:val="75AC740F"/>
    <w:rsid w:val="75F1223F"/>
    <w:rsid w:val="76143E0D"/>
    <w:rsid w:val="764211C6"/>
    <w:rsid w:val="769D60E3"/>
    <w:rsid w:val="77226B8B"/>
    <w:rsid w:val="77646BE8"/>
    <w:rsid w:val="777E378B"/>
    <w:rsid w:val="77911BC2"/>
    <w:rsid w:val="77AF825A"/>
    <w:rsid w:val="77C74EAF"/>
    <w:rsid w:val="77F72936"/>
    <w:rsid w:val="77F7B3A1"/>
    <w:rsid w:val="78034139"/>
    <w:rsid w:val="782C7B34"/>
    <w:rsid w:val="78445FA5"/>
    <w:rsid w:val="784D7AAA"/>
    <w:rsid w:val="78551CF5"/>
    <w:rsid w:val="785E1CB7"/>
    <w:rsid w:val="788A485A"/>
    <w:rsid w:val="788D77FD"/>
    <w:rsid w:val="789C7979"/>
    <w:rsid w:val="78A84CE1"/>
    <w:rsid w:val="78B8503F"/>
    <w:rsid w:val="78F626F0"/>
    <w:rsid w:val="78F9378E"/>
    <w:rsid w:val="794F10A7"/>
    <w:rsid w:val="79653346"/>
    <w:rsid w:val="796760B6"/>
    <w:rsid w:val="79690371"/>
    <w:rsid w:val="796B5F6C"/>
    <w:rsid w:val="797F5A41"/>
    <w:rsid w:val="79813B18"/>
    <w:rsid w:val="798B2638"/>
    <w:rsid w:val="79B57521"/>
    <w:rsid w:val="79D36350"/>
    <w:rsid w:val="7A25365F"/>
    <w:rsid w:val="7A287E87"/>
    <w:rsid w:val="7A330BE3"/>
    <w:rsid w:val="7A5D747E"/>
    <w:rsid w:val="7A650EE2"/>
    <w:rsid w:val="7A886B78"/>
    <w:rsid w:val="7AA03EC1"/>
    <w:rsid w:val="7AA53BCD"/>
    <w:rsid w:val="7AB70577"/>
    <w:rsid w:val="7AC1208A"/>
    <w:rsid w:val="7AD262B9"/>
    <w:rsid w:val="7AFF1A96"/>
    <w:rsid w:val="7B073F40"/>
    <w:rsid w:val="7B3551EA"/>
    <w:rsid w:val="7B7F5851"/>
    <w:rsid w:val="7B841A35"/>
    <w:rsid w:val="7B8739B8"/>
    <w:rsid w:val="7BE85A5A"/>
    <w:rsid w:val="7BED2F6D"/>
    <w:rsid w:val="7C4C6E18"/>
    <w:rsid w:val="7C6F2B32"/>
    <w:rsid w:val="7C907B14"/>
    <w:rsid w:val="7D330D8F"/>
    <w:rsid w:val="7D511DEB"/>
    <w:rsid w:val="7D586CD5"/>
    <w:rsid w:val="7D5E2DD2"/>
    <w:rsid w:val="7D7934EC"/>
    <w:rsid w:val="7D9341B1"/>
    <w:rsid w:val="7DE62533"/>
    <w:rsid w:val="7DED5311"/>
    <w:rsid w:val="7DF760B3"/>
    <w:rsid w:val="7DFBC94C"/>
    <w:rsid w:val="7E0447BB"/>
    <w:rsid w:val="7E1F2570"/>
    <w:rsid w:val="7E443630"/>
    <w:rsid w:val="7E4E2D56"/>
    <w:rsid w:val="7E72113A"/>
    <w:rsid w:val="7E775881"/>
    <w:rsid w:val="7EAD8F0A"/>
    <w:rsid w:val="7EE3B244"/>
    <w:rsid w:val="7EF10E29"/>
    <w:rsid w:val="7EF944E8"/>
    <w:rsid w:val="7EFC83AC"/>
    <w:rsid w:val="7EFF3787"/>
    <w:rsid w:val="7EFF840D"/>
    <w:rsid w:val="7F3F17D8"/>
    <w:rsid w:val="7F3FFFCA"/>
    <w:rsid w:val="7F8F8B7A"/>
    <w:rsid w:val="7F945082"/>
    <w:rsid w:val="7FBB179D"/>
    <w:rsid w:val="7FBB5CCF"/>
    <w:rsid w:val="7FDE9068"/>
    <w:rsid w:val="7FDF36DE"/>
    <w:rsid w:val="7FE13C63"/>
    <w:rsid w:val="7FF77CEA"/>
    <w:rsid w:val="7FFF16CE"/>
    <w:rsid w:val="7FFFFA91"/>
    <w:rsid w:val="82FD81F6"/>
    <w:rsid w:val="9B6A7677"/>
    <w:rsid w:val="9CDBF28F"/>
    <w:rsid w:val="9DEF9A36"/>
    <w:rsid w:val="9F9FD6DE"/>
    <w:rsid w:val="A7DF7DE7"/>
    <w:rsid w:val="ABF71291"/>
    <w:rsid w:val="ACE516AF"/>
    <w:rsid w:val="B3FEC014"/>
    <w:rsid w:val="BE677B41"/>
    <w:rsid w:val="BF5FA075"/>
    <w:rsid w:val="CAFEB70C"/>
    <w:rsid w:val="CBD0B93C"/>
    <w:rsid w:val="CF5A3130"/>
    <w:rsid w:val="D647AB7A"/>
    <w:rsid w:val="D7BF8151"/>
    <w:rsid w:val="D86FB7A1"/>
    <w:rsid w:val="DB3B5845"/>
    <w:rsid w:val="DCBC2A40"/>
    <w:rsid w:val="DDBEE17E"/>
    <w:rsid w:val="DF5FB6B7"/>
    <w:rsid w:val="DFFF8418"/>
    <w:rsid w:val="E3FF760D"/>
    <w:rsid w:val="E6DE6000"/>
    <w:rsid w:val="E6EF6960"/>
    <w:rsid w:val="E71E9A84"/>
    <w:rsid w:val="E7BDF2C6"/>
    <w:rsid w:val="EB3A8F3D"/>
    <w:rsid w:val="EDCF948C"/>
    <w:rsid w:val="EFF24903"/>
    <w:rsid w:val="EFFB2062"/>
    <w:rsid w:val="F1B725EF"/>
    <w:rsid w:val="F2EAD378"/>
    <w:rsid w:val="F2EF5604"/>
    <w:rsid w:val="F3F0BB5C"/>
    <w:rsid w:val="F3FDD58C"/>
    <w:rsid w:val="F7F94F39"/>
    <w:rsid w:val="F97C1F5B"/>
    <w:rsid w:val="FA7F2CAB"/>
    <w:rsid w:val="FADE0C46"/>
    <w:rsid w:val="FAFEBFEF"/>
    <w:rsid w:val="FB36DD00"/>
    <w:rsid w:val="FBEE7641"/>
    <w:rsid w:val="FCC7029D"/>
    <w:rsid w:val="FDB728DE"/>
    <w:rsid w:val="FDBB6464"/>
    <w:rsid w:val="FDFE2C10"/>
    <w:rsid w:val="FDFF6617"/>
    <w:rsid w:val="FEA79B47"/>
    <w:rsid w:val="FEF941B8"/>
    <w:rsid w:val="FEFF947C"/>
    <w:rsid w:val="FEFFCC21"/>
    <w:rsid w:val="FF4E5145"/>
    <w:rsid w:val="FFD97CAD"/>
    <w:rsid w:val="FFE69D0C"/>
    <w:rsid w:val="FFFA6E99"/>
    <w:rsid w:val="FFFEC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99" w:semiHidden="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qFormat/>
    <w:uiPriority w:val="99"/>
    <w:pPr>
      <w:keepNext/>
      <w:keepLines/>
      <w:spacing w:before="260" w:after="260"/>
      <w:jc w:val="center"/>
      <w:outlineLvl w:val="1"/>
    </w:pPr>
    <w:rPr>
      <w:rFonts w:eastAsia="华文中宋" w:cs="Times New Roman"/>
      <w:b/>
      <w:bCs/>
      <w:szCs w:val="44"/>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style>
  <w:style w:type="paragraph" w:styleId="5">
    <w:name w:val="Normal Indent"/>
    <w:basedOn w:val="1"/>
    <w:next w:val="1"/>
    <w:qFormat/>
    <w:uiPriority w:val="0"/>
    <w:pPr>
      <w:ind w:firstLine="420"/>
    </w:pPr>
    <w:rPr>
      <w:szCs w:val="21"/>
    </w:rPr>
  </w:style>
  <w:style w:type="paragraph" w:styleId="6">
    <w:name w:val="annotation text"/>
    <w:basedOn w:val="1"/>
    <w:semiHidden/>
    <w:unhideWhenUsed/>
    <w:qFormat/>
    <w:uiPriority w:val="99"/>
    <w:pPr>
      <w:jc w:val="left"/>
    </w:pPr>
  </w:style>
  <w:style w:type="paragraph" w:styleId="7">
    <w:name w:val="Body Text"/>
    <w:basedOn w:val="1"/>
    <w:next w:val="1"/>
    <w:qFormat/>
    <w:uiPriority w:val="99"/>
    <w:rPr>
      <w:rFonts w:ascii="仿宋_GB2312" w:eastAsia="仿宋_GB2312"/>
      <w:sz w:val="30"/>
    </w:rPr>
  </w:style>
  <w:style w:type="paragraph" w:styleId="8">
    <w:name w:val="Body Text Indent"/>
    <w:basedOn w:val="1"/>
    <w:unhideWhenUsed/>
    <w:qFormat/>
    <w:uiPriority w:val="99"/>
    <w:pPr>
      <w:spacing w:after="120"/>
      <w:ind w:left="420" w:leftChars="200"/>
    </w:pPr>
  </w:style>
  <w:style w:type="paragraph" w:styleId="9">
    <w:name w:val="Body Text Indent 2"/>
    <w:basedOn w:val="1"/>
    <w:qFormat/>
    <w:uiPriority w:val="0"/>
    <w:pPr>
      <w:spacing w:after="120" w:line="480" w:lineRule="auto"/>
      <w:ind w:left="420" w:leftChars="200"/>
    </w:pPr>
    <w:rPr>
      <w:szCs w:val="21"/>
    </w:rPr>
  </w:style>
  <w:style w:type="paragraph" w:styleId="10">
    <w:name w:val="footer"/>
    <w:basedOn w:val="1"/>
    <w:unhideWhenUsed/>
    <w:qFormat/>
    <w:uiPriority w:val="99"/>
    <w:pPr>
      <w:tabs>
        <w:tab w:val="center" w:pos="4153"/>
        <w:tab w:val="right" w:pos="8306"/>
      </w:tabs>
      <w:snapToGrid w:val="0"/>
      <w:jc w:val="left"/>
    </w:pPr>
    <w:rPr>
      <w:sz w:val="18"/>
    </w:rPr>
  </w:style>
  <w:style w:type="paragraph" w:styleId="11">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unhideWhenUsed/>
    <w:qFormat/>
    <w:uiPriority w:val="39"/>
  </w:style>
  <w:style w:type="paragraph" w:styleId="13">
    <w:name w:val="index 9"/>
    <w:basedOn w:val="1"/>
    <w:next w:val="1"/>
    <w:qFormat/>
    <w:uiPriority w:val="99"/>
    <w:pPr>
      <w:ind w:left="1600" w:leftChars="1600"/>
    </w:pPr>
  </w:style>
  <w:style w:type="paragraph" w:styleId="14">
    <w:name w:val="toc 2"/>
    <w:basedOn w:val="1"/>
    <w:next w:val="1"/>
    <w:unhideWhenUsed/>
    <w:qFormat/>
    <w:uiPriority w:val="39"/>
    <w:pPr>
      <w:ind w:left="420" w:leftChars="200"/>
    </w:pPr>
  </w:style>
  <w:style w:type="paragraph" w:styleId="1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16">
    <w:name w:val="Normal (Web)"/>
    <w:basedOn w:val="1"/>
    <w:qFormat/>
    <w:uiPriority w:val="0"/>
    <w:pPr>
      <w:spacing w:before="100" w:beforeAutospacing="1" w:after="100" w:afterAutospacing="1"/>
      <w:jc w:val="left"/>
    </w:pPr>
    <w:rPr>
      <w:rFonts w:eastAsia="宋体"/>
      <w:kern w:val="0"/>
      <w:sz w:val="24"/>
    </w:rPr>
  </w:style>
  <w:style w:type="paragraph" w:styleId="17">
    <w:name w:val="Body Text First Indent"/>
    <w:basedOn w:val="7"/>
    <w:unhideWhenUsed/>
    <w:qFormat/>
    <w:uiPriority w:val="0"/>
    <w:pPr>
      <w:ind w:firstLine="420" w:firstLineChars="100"/>
    </w:pPr>
  </w:style>
  <w:style w:type="paragraph" w:styleId="18">
    <w:name w:val="Body Text First Indent 2"/>
    <w:basedOn w:val="8"/>
    <w:unhideWhenUsed/>
    <w:qFormat/>
    <w:uiPriority w:val="99"/>
    <w:pPr>
      <w:widowControl/>
      <w:wordWrap w:val="0"/>
      <w:ind w:firstLine="420" w:firstLineChars="200"/>
    </w:pPr>
    <w:rPr>
      <w:kern w:val="0"/>
      <w:sz w:val="20"/>
      <w:szCs w:val="20"/>
    </w:rPr>
  </w:style>
  <w:style w:type="paragraph" w:customStyle="1" w:styleId="21">
    <w:name w:val="无间隔1"/>
    <w:qFormat/>
    <w:uiPriority w:val="0"/>
    <w:pPr>
      <w:spacing w:after="160" w:line="278" w:lineRule="auto"/>
    </w:pPr>
    <w:rPr>
      <w:rFonts w:ascii="Times New Roman" w:hAnsi="Times New Roman" w:eastAsia="宋体" w:cs="Times New Roman"/>
      <w:sz w:val="22"/>
      <w:szCs w:val="22"/>
      <w:lang w:val="en-US" w:eastAsia="zh-CN" w:bidi="ar-SA"/>
    </w:rPr>
  </w:style>
  <w:style w:type="paragraph" w:styleId="22">
    <w:name w:val="List Paragraph"/>
    <w:basedOn w:val="1"/>
    <w:qFormat/>
    <w:uiPriority w:val="34"/>
    <w:pPr>
      <w:ind w:firstLine="420" w:firstLineChars="200"/>
    </w:pPr>
  </w:style>
  <w:style w:type="paragraph" w:customStyle="1" w:styleId="23">
    <w:name w:val="表格"/>
    <w:basedOn w:val="1"/>
    <w:qFormat/>
    <w:uiPriority w:val="0"/>
    <w:pPr>
      <w:autoSpaceDN w:val="0"/>
      <w:jc w:val="center"/>
    </w:pPr>
    <w:rPr>
      <w:rFonts w:ascii="Verdana" w:hAnsi="Verdana" w:eastAsia="仿宋_GB2312" w:cs="Times New Roman"/>
      <w:bCs/>
      <w:sz w:val="24"/>
      <w:szCs w:val="21"/>
      <w:lang w:eastAsia="en-US"/>
    </w:rPr>
  </w:style>
  <w:style w:type="paragraph" w:customStyle="1" w:styleId="24">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5">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character" w:customStyle="1" w:styleId="26">
    <w:name w:val="font11"/>
    <w:basedOn w:val="20"/>
    <w:qFormat/>
    <w:uiPriority w:val="0"/>
    <w:rPr>
      <w:rFonts w:ascii="仿宋" w:hAnsi="仿宋" w:eastAsia="仿宋" w:cs="仿宋"/>
      <w:color w:val="000000"/>
      <w:sz w:val="24"/>
      <w:szCs w:val="24"/>
      <w:u w:val="none"/>
    </w:rPr>
  </w:style>
  <w:style w:type="paragraph" w:customStyle="1" w:styleId="27">
    <w:name w:val="二级"/>
    <w:basedOn w:val="1"/>
    <w:qFormat/>
    <w:uiPriority w:val="0"/>
    <w:pPr>
      <w:autoSpaceDN w:val="0"/>
      <w:spacing w:line="400" w:lineRule="exact"/>
      <w:outlineLvl w:val="2"/>
    </w:pPr>
    <w:rPr>
      <w:rFonts w:ascii="宋体" w:hAnsi="宋体"/>
      <w:b/>
      <w:bCs/>
      <w:sz w:val="28"/>
      <w:szCs w:val="28"/>
      <w:lang w:eastAsia="en-US"/>
    </w:rPr>
  </w:style>
  <w:style w:type="paragraph" w:customStyle="1" w:styleId="28">
    <w:name w:val="修订1"/>
    <w:hidden/>
    <w:semiHidden/>
    <w:qFormat/>
    <w:uiPriority w:val="99"/>
    <w:pPr>
      <w:spacing w:after="160" w:line="278" w:lineRule="auto"/>
    </w:pPr>
    <w:rPr>
      <w:rFonts w:asciiTheme="minorHAnsi" w:hAnsiTheme="minorHAnsi" w:eastAsiaTheme="minorEastAsia" w:cstheme="minorBidi"/>
      <w:kern w:val="2"/>
      <w:sz w:val="21"/>
      <w:szCs w:val="22"/>
      <w:lang w:val="en-US" w:eastAsia="zh-CN" w:bidi="ar-SA"/>
    </w:rPr>
  </w:style>
  <w:style w:type="paragraph" w:customStyle="1" w:styleId="29">
    <w:name w:val="修订2"/>
    <w:hidden/>
    <w:semiHidden/>
    <w:qFormat/>
    <w:uiPriority w:val="99"/>
    <w:pPr>
      <w:spacing w:after="160" w:line="278" w:lineRule="auto"/>
    </w:pPr>
    <w:rPr>
      <w:rFonts w:asciiTheme="minorHAnsi" w:hAnsiTheme="minorHAnsi" w:eastAsiaTheme="minorEastAsia" w:cstheme="minorBidi"/>
      <w:kern w:val="2"/>
      <w:sz w:val="21"/>
      <w:szCs w:val="22"/>
      <w:lang w:val="en-US" w:eastAsia="zh-CN" w:bidi="ar-SA"/>
    </w:rPr>
  </w:style>
  <w:style w:type="character" w:customStyle="1" w:styleId="30">
    <w:name w:val="bjh-p"/>
    <w:basedOn w:val="20"/>
    <w:qFormat/>
    <w:uiPriority w:val="0"/>
  </w:style>
  <w:style w:type="paragraph" w:customStyle="1" w:styleId="31">
    <w:name w:val="标题3"/>
    <w:basedOn w:val="1"/>
    <w:next w:val="1"/>
    <w:qFormat/>
    <w:uiPriority w:val="0"/>
    <w:pPr>
      <w:snapToGrid w:val="0"/>
      <w:spacing w:line="360" w:lineRule="auto"/>
      <w:ind w:firstLine="200" w:firstLineChars="200"/>
      <w:outlineLvl w:val="2"/>
    </w:pPr>
    <w:rPr>
      <w:rFonts w:ascii="仿宋_GB2312" w:hAnsi="华文宋体" w:eastAsia="仿宋_GB2312"/>
      <w:sz w:val="32"/>
      <w:szCs w:val="32"/>
    </w:rPr>
  </w:style>
  <w:style w:type="character" w:customStyle="1" w:styleId="32">
    <w:name w:val="font41"/>
    <w:basedOn w:val="20"/>
    <w:qFormat/>
    <w:uiPriority w:val="0"/>
    <w:rPr>
      <w:rFonts w:hint="eastAsia" w:ascii="宋体" w:hAnsi="宋体" w:eastAsia="宋体" w:cs="宋体"/>
      <w:color w:val="000000"/>
      <w:sz w:val="20"/>
      <w:szCs w:val="20"/>
      <w:u w:val="none"/>
    </w:rPr>
  </w:style>
  <w:style w:type="character" w:customStyle="1" w:styleId="33">
    <w:name w:val="font01"/>
    <w:basedOn w:val="20"/>
    <w:qFormat/>
    <w:uiPriority w:val="0"/>
    <w:rPr>
      <w:rFonts w:hint="eastAsia" w:ascii="宋体" w:hAnsi="宋体" w:eastAsia="宋体" w:cs="宋体"/>
      <w:color w:val="000000"/>
      <w:sz w:val="20"/>
      <w:szCs w:val="20"/>
      <w:u w:val="none"/>
    </w:rPr>
  </w:style>
  <w:style w:type="paragraph" w:customStyle="1" w:styleId="34">
    <w:name w:val="Index9"/>
    <w:basedOn w:val="1"/>
    <w:next w:val="1"/>
    <w:semiHidden/>
    <w:qFormat/>
    <w:uiPriority w:val="0"/>
    <w:pPr>
      <w:ind w:left="1600" w:leftChars="1600"/>
      <w:textAlignment w:val="baseline"/>
    </w:pPr>
  </w:style>
  <w:style w:type="paragraph" w:customStyle="1" w:styleId="35">
    <w:name w:val="Revision"/>
    <w:hidden/>
    <w:unhideWhenUsed/>
    <w:qFormat/>
    <w:uiPriority w:val="99"/>
    <w:pPr>
      <w:spacing w:after="0" w:line="240" w:lineRule="auto"/>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1907</Words>
  <Characters>10873</Characters>
  <Lines>90</Lines>
  <Paragraphs>25</Paragraphs>
  <TotalTime>5</TotalTime>
  <ScaleCrop>false</ScaleCrop>
  <LinksUpToDate>false</LinksUpToDate>
  <CharactersWithSpaces>12755</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2022-04-23T18:14:00Z</dcterms:created>
  <dc:creator>岳辰 于</dc:creator>
  <cp:lastModifiedBy>user</cp:lastModifiedBy>
  <cp:lastPrinted>2025-05-24T07:22:00Z</cp:lastPrinted>
  <dcterms:modified xsi:type="dcterms:W3CDTF">2025-08-27T14:30:18Z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FC192CF328F83312BF6DAE6852A5921B</vt:lpwstr>
  </property>
  <property fmtid="{D5CDD505-2E9C-101B-9397-08002B2CF9AE}" pid="4" name="KSOTemplateDocerSaveRecord">
    <vt:lpwstr>eyJoZGlkIjoiZGRkMDVhYzVlMTY0NTc1OGM1M2FkMGI5ZmE2Mjk3NzEiLCJ1c2VySWQiOiIxMTI0MTEzMDE2In0=</vt:lpwstr>
  </property>
</Properties>
</file>