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w:t>
      </w:r>
      <w:r>
        <w:rPr>
          <w:rFonts w:ascii="仿宋_GB2312" w:hAnsi="宋体" w:eastAsia="仿宋_GB2312"/>
          <w:sz w:val="28"/>
          <w:szCs w:val="28"/>
        </w:rPr>
        <w:t>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5"/>
        <w:tblW w:w="9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975"/>
        <w:gridCol w:w="1105"/>
        <w:gridCol w:w="404"/>
        <w:gridCol w:w="774"/>
        <w:gridCol w:w="354"/>
        <w:gridCol w:w="1005"/>
        <w:gridCol w:w="1050"/>
        <w:gridCol w:w="501"/>
        <w:gridCol w:w="556"/>
        <w:gridCol w:w="173"/>
        <w:gridCol w:w="523"/>
        <w:gridCol w:w="323"/>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7478" w:type="dxa"/>
            <w:gridSpan w:val="1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202</w:t>
            </w:r>
            <w:r>
              <w:rPr>
                <w:rFonts w:ascii="仿宋_GB2312" w:hAnsi="宋体" w:eastAsia="仿宋_GB2312" w:cs="宋体"/>
                <w:kern w:val="0"/>
                <w:szCs w:val="21"/>
              </w:rPr>
              <w:t>2</w:t>
            </w:r>
            <w:r>
              <w:rPr>
                <w:rFonts w:hint="eastAsia" w:ascii="仿宋_GB2312" w:hAnsi="宋体" w:eastAsia="仿宋_GB2312" w:cs="宋体"/>
                <w:kern w:val="0"/>
                <w:szCs w:val="21"/>
              </w:rPr>
              <w:t>年北京市涉外安全风险防范</w:t>
            </w:r>
            <w:r>
              <w:rPr>
                <w:rFonts w:hint="eastAsia" w:ascii="仿宋_GB2312" w:hAnsi="宋体" w:eastAsia="仿宋_GB2312" w:cs="宋体"/>
                <w:kern w:val="0"/>
                <w:szCs w:val="21"/>
                <w:lang w:val="en-US" w:eastAsia="zh-CN"/>
              </w:rPr>
              <w:t>服务</w:t>
            </w:r>
            <w:r>
              <w:rPr>
                <w:rFonts w:hint="eastAsia" w:ascii="仿宋_GB2312" w:hAnsi="宋体" w:eastAsia="仿宋_GB2312" w:cs="宋体"/>
                <w:kern w:val="0"/>
                <w:szCs w:val="21"/>
              </w:rPr>
              <w:t>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3642"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北京市人民政府外事办公室</w:t>
            </w:r>
          </w:p>
        </w:tc>
        <w:tc>
          <w:tcPr>
            <w:tcW w:w="10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单位</w:t>
            </w:r>
          </w:p>
        </w:tc>
        <w:tc>
          <w:tcPr>
            <w:tcW w:w="2786"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北京市人民政府外事办公室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3642" w:type="dxa"/>
            <w:gridSpan w:val="5"/>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吴秀峰</w:t>
            </w:r>
          </w:p>
        </w:tc>
        <w:tc>
          <w:tcPr>
            <w:tcW w:w="10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电话</w:t>
            </w:r>
          </w:p>
        </w:tc>
        <w:tc>
          <w:tcPr>
            <w:tcW w:w="2786"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r>
              <w:rPr>
                <w:rFonts w:ascii="仿宋_GB2312" w:hAnsi="宋体" w:eastAsia="仿宋_GB2312" w:cs="宋体"/>
                <w:kern w:val="0"/>
                <w:szCs w:val="21"/>
              </w:rPr>
              <w:t>5574137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560" w:type="dxa"/>
            <w:gridSpan w:val="2"/>
            <w:vMerge w:val="restart"/>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pPr>
              <w:widowControl/>
              <w:spacing w:line="240" w:lineRule="exact"/>
              <w:jc w:val="center"/>
              <w:rPr>
                <w:rFonts w:ascii="仿宋_GB2312" w:hAnsi="宋体" w:eastAsia="仿宋_GB2312" w:cs="宋体"/>
                <w:kern w:val="0"/>
                <w:szCs w:val="21"/>
                <w:highlight w:val="yellow"/>
              </w:rPr>
            </w:pPr>
            <w:r>
              <w:rPr>
                <w:rFonts w:hint="eastAsia" w:ascii="仿宋_GB2312" w:hAnsi="宋体" w:eastAsia="仿宋_GB2312" w:cs="宋体"/>
                <w:kern w:val="0"/>
                <w:szCs w:val="21"/>
              </w:rPr>
              <w:t>（万元）</w:t>
            </w:r>
          </w:p>
        </w:tc>
        <w:tc>
          <w:tcPr>
            <w:tcW w:w="1509" w:type="dxa"/>
            <w:gridSpan w:val="2"/>
            <w:vAlign w:val="center"/>
          </w:tcPr>
          <w:p>
            <w:pPr>
              <w:widowControl/>
              <w:spacing w:line="240" w:lineRule="exact"/>
              <w:jc w:val="center"/>
              <w:rPr>
                <w:rFonts w:ascii="仿宋_GB2312" w:hAnsi="宋体" w:eastAsia="仿宋_GB2312" w:cs="宋体"/>
                <w:kern w:val="0"/>
                <w:szCs w:val="21"/>
              </w:rPr>
            </w:pPr>
          </w:p>
        </w:tc>
        <w:tc>
          <w:tcPr>
            <w:tcW w:w="112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05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1230" w:type="dxa"/>
            <w:gridSpan w:val="3"/>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509"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8"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488.196</w:t>
            </w:r>
          </w:p>
        </w:tc>
        <w:tc>
          <w:tcPr>
            <w:tcW w:w="1005" w:type="dxa"/>
            <w:vAlign w:val="center"/>
          </w:tcPr>
          <w:p>
            <w:pPr>
              <w:widowControl/>
              <w:spacing w:line="240" w:lineRule="exact"/>
              <w:jc w:val="center"/>
              <w:rPr>
                <w:rFonts w:hint="default" w:ascii="仿宋_GB2312" w:hAnsi="宋体" w:eastAsia="仿宋_GB2312" w:cs="宋体"/>
                <w:kern w:val="0"/>
                <w:szCs w:val="21"/>
                <w:highlight w:val="green"/>
                <w:lang w:val="en-US" w:eastAsia="zh-CN"/>
              </w:rPr>
            </w:pPr>
            <w:r>
              <w:rPr>
                <w:rFonts w:hint="eastAsia" w:ascii="仿宋_GB2312" w:hAnsi="宋体" w:eastAsia="仿宋_GB2312" w:cs="宋体"/>
                <w:kern w:val="0"/>
                <w:szCs w:val="21"/>
                <w:lang w:val="en-US" w:eastAsia="zh-CN"/>
              </w:rPr>
              <w:t>446.876</w:t>
            </w:r>
          </w:p>
        </w:tc>
        <w:tc>
          <w:tcPr>
            <w:tcW w:w="1050" w:type="dxa"/>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446.876</w:t>
            </w:r>
          </w:p>
        </w:tc>
        <w:tc>
          <w:tcPr>
            <w:tcW w:w="1230" w:type="dxa"/>
            <w:gridSpan w:val="3"/>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4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100</w:t>
            </w:r>
            <w:r>
              <w:rPr>
                <w:rFonts w:hint="eastAsia" w:ascii="仿宋_GB2312" w:hAnsi="宋体" w:eastAsia="仿宋_GB2312" w:cs="宋体"/>
                <w:kern w:val="0"/>
                <w:szCs w:val="21"/>
              </w:rPr>
              <w:t>%</w:t>
            </w:r>
          </w:p>
        </w:tc>
        <w:tc>
          <w:tcPr>
            <w:tcW w:w="710" w:type="dxa"/>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50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其中：当年财政拨款</w:t>
            </w:r>
          </w:p>
        </w:tc>
        <w:tc>
          <w:tcPr>
            <w:tcW w:w="1128"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488.196</w:t>
            </w:r>
          </w:p>
        </w:tc>
        <w:tc>
          <w:tcPr>
            <w:tcW w:w="1005" w:type="dxa"/>
            <w:vAlign w:val="center"/>
          </w:tcPr>
          <w:p>
            <w:pPr>
              <w:widowControl/>
              <w:spacing w:line="240" w:lineRule="exact"/>
              <w:jc w:val="center"/>
              <w:rPr>
                <w:rFonts w:hint="default" w:ascii="仿宋_GB2312" w:hAnsi="宋体" w:eastAsia="仿宋_GB2312" w:cs="宋体"/>
                <w:kern w:val="0"/>
                <w:szCs w:val="21"/>
                <w:highlight w:val="green"/>
                <w:lang w:val="en-US" w:eastAsia="zh-CN"/>
              </w:rPr>
            </w:pPr>
            <w:r>
              <w:rPr>
                <w:rFonts w:hint="eastAsia" w:ascii="仿宋_GB2312" w:hAnsi="宋体" w:eastAsia="仿宋_GB2312" w:cs="宋体"/>
                <w:kern w:val="0"/>
                <w:szCs w:val="21"/>
                <w:lang w:val="en-US" w:eastAsia="zh-CN"/>
              </w:rPr>
              <w:t>446.876</w:t>
            </w:r>
          </w:p>
        </w:tc>
        <w:tc>
          <w:tcPr>
            <w:tcW w:w="1050" w:type="dxa"/>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446.876</w:t>
            </w:r>
          </w:p>
        </w:tc>
        <w:tc>
          <w:tcPr>
            <w:tcW w:w="1230" w:type="dxa"/>
            <w:gridSpan w:val="3"/>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100%</w:t>
            </w: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50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上年结转资金</w:t>
            </w:r>
          </w:p>
        </w:tc>
        <w:tc>
          <w:tcPr>
            <w:tcW w:w="1128" w:type="dxa"/>
            <w:gridSpan w:val="2"/>
            <w:vAlign w:val="center"/>
          </w:tcPr>
          <w:p>
            <w:pPr>
              <w:widowControl/>
              <w:spacing w:line="240" w:lineRule="exact"/>
              <w:jc w:val="center"/>
              <w:rPr>
                <w:rFonts w:ascii="仿宋_GB2312" w:hAnsi="宋体" w:eastAsia="仿宋_GB2312" w:cs="宋体"/>
                <w:kern w:val="0"/>
                <w:szCs w:val="21"/>
              </w:rPr>
            </w:pPr>
          </w:p>
        </w:tc>
        <w:tc>
          <w:tcPr>
            <w:tcW w:w="1005" w:type="dxa"/>
            <w:vAlign w:val="center"/>
          </w:tcPr>
          <w:p>
            <w:pPr>
              <w:widowControl/>
              <w:spacing w:line="240" w:lineRule="exact"/>
              <w:jc w:val="center"/>
              <w:rPr>
                <w:rFonts w:ascii="仿宋_GB2312" w:hAnsi="宋体" w:eastAsia="仿宋_GB2312" w:cs="宋体"/>
                <w:kern w:val="0"/>
                <w:szCs w:val="21"/>
              </w:rPr>
            </w:pPr>
          </w:p>
        </w:tc>
        <w:tc>
          <w:tcPr>
            <w:tcW w:w="1050" w:type="dxa"/>
            <w:vAlign w:val="center"/>
          </w:tcPr>
          <w:p>
            <w:pPr>
              <w:widowControl/>
              <w:spacing w:line="240" w:lineRule="exact"/>
              <w:jc w:val="center"/>
              <w:rPr>
                <w:rFonts w:ascii="仿宋_GB2312" w:hAnsi="宋体" w:eastAsia="仿宋_GB2312" w:cs="宋体"/>
                <w:kern w:val="0"/>
                <w:szCs w:val="21"/>
              </w:rPr>
            </w:pPr>
          </w:p>
        </w:tc>
        <w:tc>
          <w:tcPr>
            <w:tcW w:w="1230" w:type="dxa"/>
            <w:gridSpan w:val="3"/>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1560" w:type="dxa"/>
            <w:gridSpan w:val="2"/>
            <w:vMerge w:val="continue"/>
            <w:vAlign w:val="center"/>
          </w:tcPr>
          <w:p>
            <w:pPr>
              <w:widowControl/>
              <w:spacing w:line="240" w:lineRule="exact"/>
              <w:jc w:val="center"/>
              <w:rPr>
                <w:rFonts w:ascii="仿宋_GB2312" w:hAnsi="宋体" w:eastAsia="仿宋_GB2312" w:cs="宋体"/>
                <w:kern w:val="0"/>
                <w:szCs w:val="21"/>
              </w:rPr>
            </w:pPr>
          </w:p>
        </w:tc>
        <w:tc>
          <w:tcPr>
            <w:tcW w:w="150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8" w:type="dxa"/>
            <w:gridSpan w:val="2"/>
            <w:vAlign w:val="center"/>
          </w:tcPr>
          <w:p>
            <w:pPr>
              <w:widowControl/>
              <w:spacing w:line="240" w:lineRule="exact"/>
              <w:jc w:val="center"/>
              <w:rPr>
                <w:rFonts w:ascii="仿宋_GB2312" w:hAnsi="宋体" w:eastAsia="仿宋_GB2312" w:cs="宋体"/>
                <w:kern w:val="0"/>
                <w:szCs w:val="21"/>
              </w:rPr>
            </w:pPr>
          </w:p>
        </w:tc>
        <w:tc>
          <w:tcPr>
            <w:tcW w:w="1005" w:type="dxa"/>
            <w:vAlign w:val="center"/>
          </w:tcPr>
          <w:p>
            <w:pPr>
              <w:widowControl/>
              <w:spacing w:line="240" w:lineRule="exact"/>
              <w:jc w:val="center"/>
              <w:rPr>
                <w:rFonts w:ascii="仿宋_GB2312" w:hAnsi="宋体" w:eastAsia="仿宋_GB2312" w:cs="宋体"/>
                <w:kern w:val="0"/>
                <w:szCs w:val="21"/>
              </w:rPr>
            </w:pPr>
          </w:p>
        </w:tc>
        <w:tc>
          <w:tcPr>
            <w:tcW w:w="1050" w:type="dxa"/>
            <w:vAlign w:val="center"/>
          </w:tcPr>
          <w:p>
            <w:pPr>
              <w:widowControl/>
              <w:spacing w:line="240" w:lineRule="exact"/>
              <w:jc w:val="center"/>
              <w:rPr>
                <w:rFonts w:ascii="仿宋_GB2312" w:hAnsi="宋体" w:eastAsia="仿宋_GB2312" w:cs="宋体"/>
                <w:kern w:val="0"/>
                <w:szCs w:val="21"/>
              </w:rPr>
            </w:pPr>
          </w:p>
        </w:tc>
        <w:tc>
          <w:tcPr>
            <w:tcW w:w="1230" w:type="dxa"/>
            <w:gridSpan w:val="3"/>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vAlign w:val="center"/>
          </w:tcPr>
          <w:p>
            <w:pPr>
              <w:widowControl/>
              <w:spacing w:line="240" w:lineRule="exact"/>
              <w:jc w:val="center"/>
              <w:rPr>
                <w:rFonts w:ascii="仿宋_GB2312" w:hAnsi="宋体" w:eastAsia="仿宋_GB2312" w:cs="宋体"/>
                <w:kern w:val="0"/>
                <w:szCs w:val="21"/>
              </w:rPr>
            </w:pPr>
          </w:p>
        </w:tc>
        <w:tc>
          <w:tcPr>
            <w:tcW w:w="710"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jc w:val="center"/>
        </w:trPr>
        <w:tc>
          <w:tcPr>
            <w:tcW w:w="58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4617" w:type="dxa"/>
            <w:gridSpan w:val="6"/>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836" w:type="dxa"/>
            <w:gridSpan w:val="7"/>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4617" w:type="dxa"/>
            <w:gridSpan w:val="6"/>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lang w:eastAsia="zh-CN"/>
              </w:rPr>
              <w:t>（</w:t>
            </w:r>
            <w:r>
              <w:rPr>
                <w:rFonts w:hint="eastAsia" w:ascii="仿宋_GB2312" w:hAnsi="宋体" w:eastAsia="仿宋_GB2312" w:cs="宋体"/>
                <w:kern w:val="0"/>
                <w:szCs w:val="21"/>
              </w:rPr>
              <w:t>一）涉外安全信息监测：对境内外主流媒体实时监测，实现涉外突发事件、出入境及疫情防控措施、安全提醒和风险预警类信息、境外安全保障经验交流信息、安全保护知识的快速精准抓取和推送；（二）涉外安全分析评估：完成境外安全周报、综合性国别分析、涉外安全重点问题分析材料、指定性安全分析材料；（三）涉外安全风险预警：对采集的境外突发事件、境外国家和地区、驻外使馆、境外中资机构进行地理位置标绘，形成上述信息的地理位置信息展示图；基于数据采集开展涉外安全风险预警及分析评估，向相关部门、单位或公众推送安全提示信息；（四）涉外安全体系智力支持：建立涉外安全专家团队，召开专家分析会，为涉外安全工作提供专业服务，持续做好平台提质增效，做好“即时通”“丝路通”“海外北京”画像功能开发及维护；（五）境外北京人员及机构动态管理服务：实时跟踪境外北京市人员及机构相关信息，建立相关数据库和地理位置标绘。通过“境外服务宝”微信小程序的维护和日常运营，向境外北京人员及机构不定期推送境外重大突发事件、安全提醒、工作通知等。</w:t>
            </w:r>
          </w:p>
        </w:tc>
        <w:tc>
          <w:tcPr>
            <w:tcW w:w="3836" w:type="dxa"/>
            <w:gridSpan w:val="7"/>
            <w:vAlign w:val="center"/>
          </w:tcPr>
          <w:p>
            <w:pPr>
              <w:widowControl/>
              <w:numPr>
                <w:ilvl w:val="0"/>
                <w:numId w:val="0"/>
              </w:numPr>
              <w:spacing w:line="240" w:lineRule="exact"/>
              <w:rPr>
                <w:rFonts w:ascii="仿宋_GB2312" w:hAnsi="宋体" w:eastAsia="仿宋_GB2312" w:cs="宋体"/>
                <w:kern w:val="0"/>
                <w:szCs w:val="21"/>
              </w:rPr>
            </w:pPr>
            <w:r>
              <w:rPr>
                <w:rFonts w:hint="eastAsia" w:ascii="仿宋_GB2312" w:hAnsi="宋体" w:eastAsia="仿宋_GB2312" w:cs="宋体"/>
                <w:kern w:val="0"/>
                <w:szCs w:val="21"/>
                <w:lang w:val="en-US" w:eastAsia="zh-CN"/>
              </w:rPr>
              <w:t>完成对境内外主流媒体的实时监测，实现信息的快速精准抓取、标绘、推送。组建专家团队，定期召开专家分析会，完成各种分类分析评估报告。更新完善风险预警模型，定期更新风险预警信息。完成境外北京人员及机构数据阶段性摸底工作，建立境外北京人员及机构动态数据库，并对北京市境外安全服务平台和“境外服务宝”微信小程序进行升级，为“走出去”境外企业和人员提供全方位境外安全服务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exact"/>
          <w:jc w:val="center"/>
        </w:trPr>
        <w:tc>
          <w:tcPr>
            <w:tcW w:w="585" w:type="dxa"/>
            <w:vMerge w:val="restart"/>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1178"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3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55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033"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关键词</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200个</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30</w:t>
            </w:r>
            <w:r>
              <w:rPr>
                <w:rFonts w:hint="eastAsia" w:ascii="仿宋_GB2312" w:hAnsi="宋体" w:eastAsia="仿宋_GB2312" w:cs="宋体"/>
                <w:kern w:val="0"/>
                <w:szCs w:val="21"/>
              </w:rPr>
              <w:t>个</w:t>
            </w:r>
          </w:p>
        </w:tc>
        <w:tc>
          <w:tcPr>
            <w:tcW w:w="556"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696"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1.6</w:t>
            </w:r>
          </w:p>
        </w:tc>
        <w:tc>
          <w:tcPr>
            <w:tcW w:w="1033" w:type="dxa"/>
            <w:gridSpan w:val="2"/>
            <w:vAlign w:val="center"/>
          </w:tcPr>
          <w:p>
            <w:pPr>
              <w:widowControl/>
              <w:spacing w:line="240" w:lineRule="exact"/>
              <w:jc w:val="left"/>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根据2022年实际情况开展，后续完善绩效指标值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境外国家基本信息</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50个</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69个</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境外中国</w:t>
            </w:r>
            <w:r>
              <w:rPr>
                <w:rFonts w:hint="eastAsia" w:ascii="仿宋_GB2312" w:eastAsia="仿宋_GB2312"/>
                <w:lang w:eastAsia="zh-CN"/>
              </w:rPr>
              <w:t>（</w:t>
            </w:r>
            <w:r>
              <w:rPr>
                <w:rFonts w:hint="eastAsia" w:ascii="仿宋_GB2312" w:eastAsia="仿宋_GB2312"/>
                <w:lang w:val="en-US" w:eastAsia="zh-CN"/>
              </w:rPr>
              <w:t>北京</w:t>
            </w:r>
            <w:r>
              <w:rPr>
                <w:rFonts w:hint="eastAsia" w:ascii="仿宋_GB2312" w:eastAsia="仿宋_GB2312"/>
                <w:lang w:eastAsia="zh-CN"/>
              </w:rPr>
              <w:t>）</w:t>
            </w:r>
            <w:r>
              <w:rPr>
                <w:rFonts w:hint="eastAsia" w:ascii="仿宋_GB2312" w:eastAsia="仿宋_GB2312"/>
              </w:rPr>
              <w:t>企业位置、性质、规模、人员数量、投资经营情况等信息</w:t>
            </w:r>
          </w:p>
        </w:tc>
        <w:tc>
          <w:tcPr>
            <w:tcW w:w="1359" w:type="dxa"/>
            <w:gridSpan w:val="2"/>
            <w:vAlign w:val="center"/>
          </w:tcPr>
          <w:p>
            <w:pPr>
              <w:widowControl/>
              <w:spacing w:line="240" w:lineRule="exact"/>
              <w:rPr>
                <w:rFonts w:hint="default" w:ascii="仿宋_GB2312" w:eastAsia="仿宋_GB2312"/>
                <w:lang w:val="en-US" w:eastAsia="zh-CN"/>
              </w:rPr>
            </w:pPr>
            <w:r>
              <w:rPr>
                <w:rFonts w:hint="eastAsia" w:ascii="仿宋_GB2312" w:eastAsia="仿宋_GB2312"/>
              </w:rPr>
              <w:t>50家</w:t>
            </w:r>
            <w:r>
              <w:rPr>
                <w:rFonts w:hint="eastAsia" w:ascii="仿宋_GB2312" w:eastAsia="仿宋_GB2312"/>
                <w:lang w:val="en-US" w:eastAsia="zh-CN"/>
              </w:rPr>
              <w:t>中国企业（含30家北京企业）</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60家境外京企</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涉外安全事件相关信息</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20起</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w:t>
            </w:r>
            <w:r>
              <w:rPr>
                <w:rFonts w:ascii="仿宋_GB2312" w:hAnsi="宋体" w:eastAsia="仿宋_GB2312" w:cs="宋体"/>
                <w:kern w:val="0"/>
                <w:szCs w:val="21"/>
              </w:rPr>
              <w:t>0</w:t>
            </w:r>
            <w:r>
              <w:rPr>
                <w:rFonts w:hint="eastAsia" w:ascii="仿宋_GB2312" w:hAnsi="宋体" w:eastAsia="仿宋_GB2312" w:cs="宋体"/>
                <w:kern w:val="0"/>
                <w:szCs w:val="21"/>
              </w:rPr>
              <w:t>起</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国际救援机构</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2家</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2家</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安保机构</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2家</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2家</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收集整理并翻译国外法律法规资料</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20万字</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81.6519万字</w:t>
            </w:r>
          </w:p>
        </w:tc>
        <w:tc>
          <w:tcPr>
            <w:tcW w:w="556"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696"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1.6</w:t>
            </w:r>
          </w:p>
        </w:tc>
        <w:tc>
          <w:tcPr>
            <w:tcW w:w="1033" w:type="dxa"/>
            <w:gridSpan w:val="2"/>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后续完善绩效指标值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境外安全周报</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52篇</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lang w:val="en-US" w:eastAsia="zh-CN"/>
              </w:rPr>
              <w:t>52</w:t>
            </w:r>
            <w:r>
              <w:rPr>
                <w:rFonts w:hint="eastAsia" w:ascii="仿宋_GB2312" w:hAnsi="宋体" w:eastAsia="仿宋_GB2312" w:cs="宋体"/>
                <w:kern w:val="0"/>
                <w:szCs w:val="21"/>
              </w:rPr>
              <w:t>篇</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专家分析会</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4次</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4次</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综合性国别分析</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4篇</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4篇</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涉外安全重点问题分析（含指定性安全风险分析）</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8篇（含3篇指定性安全风险分析）</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9篇</w:t>
            </w:r>
            <w:r>
              <w:rPr>
                <w:rFonts w:hint="eastAsia" w:ascii="仿宋_GB2312" w:eastAsia="仿宋_GB2312"/>
              </w:rPr>
              <w:t>（含</w:t>
            </w:r>
            <w:r>
              <w:rPr>
                <w:rFonts w:ascii="仿宋_GB2312" w:eastAsia="仿宋_GB2312"/>
              </w:rPr>
              <w:t>4</w:t>
            </w:r>
            <w:r>
              <w:rPr>
                <w:rFonts w:hint="eastAsia" w:ascii="仿宋_GB2312" w:eastAsia="仿宋_GB2312"/>
              </w:rPr>
              <w:t>篇指定性安全风险分析）</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hint="default" w:ascii="仿宋_GB2312" w:hAnsi="宋体" w:eastAsia="仿宋_GB2312" w:cs="宋体"/>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更新关键词词库信息</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根据市外办要求及境外安全形势，每月更新关键词词库信息</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每月更新</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更新涉外突发事件信息</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每10分钟对涉外突发事件信息更新，并对涉及中国、北京等词汇的涉外突发事件追踪</w:t>
            </w:r>
          </w:p>
        </w:tc>
        <w:tc>
          <w:tcPr>
            <w:tcW w:w="1551" w:type="dxa"/>
            <w:gridSpan w:val="2"/>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eastAsia="仿宋_GB2312"/>
                <w:lang w:val="en-US" w:eastAsia="zh-CN"/>
              </w:rPr>
              <w:t>完成</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采集外交部、我驻外使领馆等官方网站发布的安全提醒和风险预警类信息</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对外交部、我驻外使领馆等官方网站发布的安全提醒和风险预警类信息的采集不晚于发布后10分钟</w:t>
            </w:r>
          </w:p>
        </w:tc>
        <w:tc>
          <w:tcPr>
            <w:tcW w:w="1551" w:type="dxa"/>
            <w:gridSpan w:val="2"/>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完成</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更新境外国家、境外中国（北京）企业、国际救援机构、安保机构的基础信息</w:t>
            </w:r>
            <w:r>
              <w:rPr>
                <w:rFonts w:ascii="仿宋_GB2312" w:hAnsi="宋体" w:eastAsia="仿宋_GB2312" w:cs="宋体"/>
                <w:kern w:val="0"/>
                <w:szCs w:val="21"/>
              </w:rPr>
              <w:t xml:space="preserve"> </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每月更新</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每月更新</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更新境外旅游团组的基础信息</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每日更新</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每日更新</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center"/>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更新出入境及疫情防控措施信息</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每10分钟对出入境及疫情防控措施信息更新</w:t>
            </w:r>
          </w:p>
        </w:tc>
        <w:tc>
          <w:tcPr>
            <w:tcW w:w="1551" w:type="dxa"/>
            <w:gridSpan w:val="2"/>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eastAsia="仿宋_GB2312"/>
                <w:lang w:val="en-US" w:eastAsia="zh-CN"/>
              </w:rPr>
              <w:t>完成</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采集境外中国（北京）企业境外安全保障经验交流信息</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每月更新</w:t>
            </w:r>
          </w:p>
        </w:tc>
        <w:tc>
          <w:tcPr>
            <w:tcW w:w="1551"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每月更新</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采集社会安全、事故灾难、自然灾害、公共卫生类事件相关的安全保护知识</w:t>
            </w:r>
          </w:p>
        </w:tc>
        <w:tc>
          <w:tcPr>
            <w:tcW w:w="1359" w:type="dxa"/>
            <w:gridSpan w:val="2"/>
            <w:vAlign w:val="center"/>
          </w:tcPr>
          <w:p>
            <w:pPr>
              <w:widowControl/>
              <w:spacing w:line="240" w:lineRule="exac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不定期</w:t>
            </w:r>
          </w:p>
        </w:tc>
        <w:tc>
          <w:tcPr>
            <w:tcW w:w="1551" w:type="dxa"/>
            <w:gridSpan w:val="2"/>
            <w:vAlign w:val="center"/>
          </w:tcPr>
          <w:p>
            <w:pPr>
              <w:widowControl/>
              <w:spacing w:line="240" w:lineRule="exac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已采集8篇</w:t>
            </w:r>
          </w:p>
        </w:tc>
        <w:tc>
          <w:tcPr>
            <w:tcW w:w="556" w:type="dxa"/>
            <w:vAlign w:val="center"/>
          </w:tcPr>
          <w:p>
            <w:pPr>
              <w:widowControl/>
              <w:spacing w:line="240" w:lineRule="exac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hint="default" w:ascii="仿宋_GB2312" w:hAnsi="宋体" w:eastAsia="仿宋_GB2312" w:cs="宋体"/>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收集</w:t>
            </w:r>
            <w:r>
              <w:rPr>
                <w:rFonts w:hint="eastAsia" w:ascii="仿宋_GB2312" w:hAnsi="宋体" w:eastAsia="仿宋_GB2312" w:cs="宋体"/>
                <w:kern w:val="0"/>
                <w:szCs w:val="21"/>
                <w:lang w:val="en-US" w:eastAsia="zh-CN"/>
              </w:rPr>
              <w:t>的20起</w:t>
            </w:r>
            <w:r>
              <w:rPr>
                <w:rFonts w:hint="eastAsia" w:ascii="仿宋_GB2312" w:hAnsi="宋体" w:eastAsia="仿宋_GB2312" w:cs="宋体"/>
                <w:kern w:val="0"/>
                <w:szCs w:val="21"/>
              </w:rPr>
              <w:t>当年发生的涉外安全事件具有代表性和影响力</w:t>
            </w:r>
          </w:p>
        </w:tc>
        <w:tc>
          <w:tcPr>
            <w:tcW w:w="1359" w:type="dxa"/>
            <w:gridSpan w:val="2"/>
            <w:vAlign w:val="center"/>
          </w:tcPr>
          <w:p>
            <w:pPr>
              <w:widowControl/>
              <w:spacing w:line="240" w:lineRule="exac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具有代表性和影响力</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具备</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eastAsia="仿宋_GB2312"/>
              </w:rPr>
              <w:t>境外安全周报的内容及版式符合市外办要求。</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内容及版式符合市外办要求。</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556"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综合性国别分析内容及版式符合市外办要求。</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内容及版式符合市外办要求。</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556"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eastAsia="仿宋_GB2312" w:cs="宋体"/>
                <w:color w:val="000000"/>
                <w:kern w:val="0"/>
                <w:szCs w:val="21"/>
              </w:rPr>
            </w:pPr>
            <w:r>
              <w:rPr>
                <w:rFonts w:hint="eastAsia" w:ascii="仿宋_GB2312" w:eastAsia="仿宋_GB2312"/>
              </w:rPr>
              <w:t>涉外安全重点问题分析材料（含指定性安全风险分析）内容及版式符合市外办要求。</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内容及版式符合市外办要求。</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eastAsia="仿宋_GB2312" w:cs="宋体"/>
                <w:color w:val="000000"/>
                <w:kern w:val="0"/>
                <w:szCs w:val="21"/>
              </w:rPr>
            </w:pPr>
            <w:r>
              <w:rPr>
                <w:rFonts w:hint="eastAsia" w:ascii="仿宋_GB2312" w:eastAsia="仿宋_GB2312"/>
              </w:rPr>
              <w:t>境外突发事件地图标绘</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10分钟内完成</w:t>
            </w:r>
            <w:r>
              <w:rPr>
                <w:rFonts w:hint="eastAsia" w:ascii="仿宋_GB2312" w:eastAsia="仿宋_GB2312"/>
                <w:lang w:val="en-US" w:eastAsia="zh-CN"/>
              </w:rPr>
              <w:t>境外突发事件的</w:t>
            </w:r>
            <w:r>
              <w:rPr>
                <w:rFonts w:hint="eastAsia" w:ascii="仿宋_GB2312" w:eastAsia="仿宋_GB2312"/>
              </w:rPr>
              <w:t>地图标绘且位置偏差不大于500米</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符合</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采集境外国家、境外中国（北京）企业、北京市旅行社组织的出境旅游团组、我驻外使领馆基础数据、有关国家与我国通航路线情况</w:t>
            </w:r>
            <w:r>
              <w:rPr>
                <w:rFonts w:hint="eastAsia" w:ascii="仿宋_GB2312" w:hAnsi="宋体" w:eastAsia="仿宋_GB2312" w:cs="宋体"/>
                <w:kern w:val="0"/>
                <w:szCs w:val="21"/>
              </w:rPr>
              <w:t xml:space="preserve"> </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5分钟内完成信息标绘</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eastAsia="仿宋_GB2312"/>
                <w:lang w:val="en-US" w:eastAsia="zh-CN"/>
              </w:rPr>
              <w:t>完成</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1</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hint="eastAsia" w:ascii="仿宋_GB2312" w:hAnsi="宋体" w:eastAsia="仿宋_GB2312" w:cs="宋体"/>
                <w:color w:val="000000"/>
                <w:kern w:val="0"/>
                <w:szCs w:val="21"/>
                <w:lang w:eastAsia="zh-CN"/>
              </w:rPr>
            </w:pPr>
            <w:r>
              <w:rPr>
                <w:rFonts w:hint="eastAsia" w:ascii="仿宋_GB2312" w:eastAsia="仿宋_GB2312"/>
              </w:rPr>
              <w:t>预警指标准确率和数据压力测试</w:t>
            </w:r>
            <w:r>
              <w:rPr>
                <w:rFonts w:hint="eastAsia" w:ascii="仿宋_GB2312" w:eastAsia="仿宋_GB2312"/>
                <w:lang w:eastAsia="zh-CN"/>
              </w:rPr>
              <w:t>，针对预警响应和处置应对过程跟踪记录和分析总结</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每月进行不少于1次测试</w:t>
            </w:r>
          </w:p>
        </w:tc>
        <w:tc>
          <w:tcPr>
            <w:tcW w:w="1551" w:type="dxa"/>
            <w:gridSpan w:val="2"/>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eastAsia="仿宋_GB2312"/>
                <w:lang w:val="en-US" w:eastAsia="zh-CN"/>
              </w:rPr>
              <w:t>完成12次测试</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涉外安全专家团队</w:t>
            </w:r>
            <w:r>
              <w:rPr>
                <w:rFonts w:hint="eastAsia" w:ascii="仿宋_GB2312" w:eastAsia="仿宋_GB2312"/>
                <w:lang w:val="en-US" w:eastAsia="zh-CN"/>
              </w:rPr>
              <w:t>能够</w:t>
            </w:r>
            <w:r>
              <w:rPr>
                <w:rFonts w:hint="eastAsia" w:ascii="仿宋_GB2312" w:eastAsia="仿宋_GB2312"/>
              </w:rPr>
              <w:t>提供涉外安全政策咨询、法律咨询、应急处置咨询服务</w:t>
            </w:r>
          </w:p>
        </w:tc>
        <w:tc>
          <w:tcPr>
            <w:tcW w:w="1359" w:type="dxa"/>
            <w:gridSpan w:val="2"/>
            <w:vAlign w:val="center"/>
          </w:tcPr>
          <w:p>
            <w:pPr>
              <w:widowControl/>
              <w:spacing w:line="240" w:lineRule="exac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组建专家团队</w:t>
            </w:r>
          </w:p>
        </w:tc>
        <w:tc>
          <w:tcPr>
            <w:tcW w:w="1551" w:type="dxa"/>
            <w:gridSpan w:val="2"/>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已组建</w:t>
            </w:r>
            <w:r>
              <w:rPr>
                <w:rFonts w:ascii="仿宋_GB2312" w:hAnsi="宋体" w:eastAsia="仿宋_GB2312" w:cs="宋体"/>
                <w:kern w:val="0"/>
                <w:szCs w:val="21"/>
              </w:rPr>
              <w:t>101</w:t>
            </w:r>
            <w:r>
              <w:rPr>
                <w:rFonts w:hint="eastAsia" w:ascii="仿宋_GB2312" w:hAnsi="宋体" w:eastAsia="仿宋_GB2312" w:cs="宋体"/>
                <w:kern w:val="0"/>
                <w:szCs w:val="21"/>
              </w:rPr>
              <w:t>人的专家团队</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能提供咨询服务</w:t>
            </w:r>
          </w:p>
        </w:tc>
        <w:tc>
          <w:tcPr>
            <w:tcW w:w="556" w:type="dxa"/>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遇有重大以上涉外突发事件发生时，可确保至少3名涉外安全专家参与事件处置工作，并提出专家分析建议</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确保至少3名涉外安全专家参与事件处置工作，并提出专家分析建议</w:t>
            </w:r>
          </w:p>
        </w:tc>
        <w:tc>
          <w:tcPr>
            <w:tcW w:w="1551" w:type="dxa"/>
            <w:gridSpan w:val="2"/>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满足</w:t>
            </w:r>
          </w:p>
        </w:tc>
        <w:tc>
          <w:tcPr>
            <w:tcW w:w="556"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人工值守服务</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7*24小时人工值守服务</w:t>
            </w:r>
          </w:p>
        </w:tc>
        <w:tc>
          <w:tcPr>
            <w:tcW w:w="1551" w:type="dxa"/>
            <w:gridSpan w:val="2"/>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满足</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数据库对不少于10年资料的安全存储和备份，不出现数据丢失和安全保密问题</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不少于10年资料的安全存储和备份，不出现数据丢失和安全保密问题</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满足</w:t>
            </w:r>
          </w:p>
        </w:tc>
        <w:tc>
          <w:tcPr>
            <w:tcW w:w="556"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市涉外突发事件应急指挥部成员单位及指定部门通过平台即时掌握最新信息</w:t>
            </w:r>
          </w:p>
        </w:tc>
        <w:tc>
          <w:tcPr>
            <w:tcW w:w="1359" w:type="dxa"/>
            <w:gridSpan w:val="2"/>
            <w:vAlign w:val="center"/>
          </w:tcPr>
          <w:p>
            <w:pPr>
              <w:widowControl/>
              <w:spacing w:line="240" w:lineRule="exact"/>
              <w:rPr>
                <w:rFonts w:eastAsia="仿宋_GB2312"/>
                <w:color w:val="000000"/>
              </w:rPr>
            </w:pPr>
            <w:r>
              <w:rPr>
                <w:rFonts w:hint="eastAsia" w:ascii="仿宋_GB2312" w:hAnsi="宋体" w:eastAsia="仿宋_GB2312" w:cs="宋体"/>
                <w:kern w:val="0"/>
                <w:szCs w:val="21"/>
              </w:rPr>
              <w:t>通过平台即时掌握最新信息</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满足</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录入市外办处置完毕的重大涉外突发事件及案例；对特定事件进行舆情跟踪</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3日内录入处置完毕的涉外突发事件；5日内形成分析材料</w:t>
            </w:r>
          </w:p>
        </w:tc>
        <w:tc>
          <w:tcPr>
            <w:tcW w:w="1551" w:type="dxa"/>
            <w:gridSpan w:val="2"/>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完成</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eastAsia="仿宋_GB2312"/>
              </w:rPr>
              <w:t>“即时通”“丝路通”“海外北京”画像功能</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eastAsia="仿宋_GB2312"/>
              </w:rPr>
              <w:t>满足市外办要求</w:t>
            </w:r>
          </w:p>
        </w:tc>
        <w:tc>
          <w:tcPr>
            <w:tcW w:w="1551" w:type="dxa"/>
            <w:gridSpan w:val="2"/>
            <w:vAlign w:val="center"/>
          </w:tcPr>
          <w:p>
            <w:pPr>
              <w:widowControl/>
              <w:spacing w:line="240" w:lineRule="exact"/>
              <w:jc w:val="left"/>
              <w:rPr>
                <w:rFonts w:hint="eastAsia" w:ascii="仿宋_GB2312" w:hAnsi="宋体" w:eastAsia="仿宋_GB2312" w:cs="宋体"/>
                <w:kern w:val="0"/>
                <w:szCs w:val="21"/>
                <w:lang w:eastAsia="zh-CN"/>
              </w:rPr>
            </w:pPr>
            <w:r>
              <w:rPr>
                <w:rFonts w:hint="eastAsia" w:ascii="仿宋_GB2312" w:eastAsia="仿宋_GB2312"/>
                <w:lang w:val="en-US" w:eastAsia="zh-CN"/>
              </w:rPr>
              <w:t>满足</w:t>
            </w:r>
          </w:p>
        </w:tc>
        <w:tc>
          <w:tcPr>
            <w:tcW w:w="556" w:type="dxa"/>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spacing w:line="240" w:lineRule="exact"/>
              <w:rPr>
                <w:rFonts w:ascii="仿宋_GB2312" w:eastAsia="仿宋_GB2312"/>
              </w:rPr>
            </w:pPr>
            <w:r>
              <w:rPr>
                <w:rFonts w:hint="eastAsia" w:ascii="仿宋_GB2312" w:eastAsia="仿宋_GB2312"/>
              </w:rPr>
              <w:t>对境外的北京企业的项目、人员基本情况及境外经营活动等消息的采集、整理、更新、完善，并实现可视化展示。</w:t>
            </w:r>
          </w:p>
        </w:tc>
        <w:tc>
          <w:tcPr>
            <w:tcW w:w="1359" w:type="dxa"/>
            <w:gridSpan w:val="2"/>
            <w:vAlign w:val="center"/>
          </w:tcPr>
          <w:p>
            <w:pPr>
              <w:spacing w:line="240" w:lineRule="exact"/>
              <w:rPr>
                <w:rFonts w:ascii="仿宋_GB2312" w:eastAsia="仿宋_GB2312"/>
              </w:rPr>
            </w:pPr>
            <w:r>
              <w:rPr>
                <w:rFonts w:hint="eastAsia" w:ascii="仿宋_GB2312" w:eastAsia="仿宋_GB2312"/>
              </w:rPr>
              <w:t>根据市外办要求，2022年底完成消息的采集、整理、更新、完善，并实现可视化展示。</w:t>
            </w:r>
          </w:p>
        </w:tc>
        <w:tc>
          <w:tcPr>
            <w:tcW w:w="1551" w:type="dxa"/>
            <w:gridSpan w:val="2"/>
            <w:vAlign w:val="center"/>
          </w:tcPr>
          <w:p>
            <w:pPr>
              <w:widowControl/>
              <w:spacing w:line="240" w:lineRule="exact"/>
              <w:jc w:val="left"/>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完成</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时效指标</w:t>
            </w:r>
          </w:p>
        </w:tc>
        <w:tc>
          <w:tcPr>
            <w:tcW w:w="1178" w:type="dxa"/>
            <w:gridSpan w:val="2"/>
            <w:vAlign w:val="center"/>
          </w:tcPr>
          <w:p>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kern w:val="0"/>
                <w:szCs w:val="21"/>
              </w:rPr>
              <w:t>项目</w:t>
            </w:r>
            <w:r>
              <w:rPr>
                <w:rFonts w:hint="eastAsia" w:ascii="仿宋_GB2312" w:hAnsi="宋体" w:eastAsia="仿宋_GB2312" w:cs="宋体"/>
                <w:kern w:val="0"/>
                <w:szCs w:val="21"/>
                <w:lang w:val="en-US" w:eastAsia="zh-CN"/>
              </w:rPr>
              <w:t>实施周期1年</w:t>
            </w:r>
          </w:p>
        </w:tc>
        <w:tc>
          <w:tcPr>
            <w:tcW w:w="1359" w:type="dxa"/>
            <w:gridSpan w:val="2"/>
            <w:vAlign w:val="center"/>
          </w:tcPr>
          <w:p>
            <w:pPr>
              <w:widowControl/>
              <w:spacing w:line="240" w:lineRule="exac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1年</w:t>
            </w:r>
          </w:p>
        </w:tc>
        <w:tc>
          <w:tcPr>
            <w:tcW w:w="1551" w:type="dxa"/>
            <w:gridSpan w:val="2"/>
            <w:vAlign w:val="center"/>
          </w:tcPr>
          <w:p>
            <w:pPr>
              <w:widowControl/>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1年</w:t>
            </w:r>
          </w:p>
        </w:tc>
        <w:tc>
          <w:tcPr>
            <w:tcW w:w="556" w:type="dxa"/>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696" w:type="dxa"/>
            <w:gridSpan w:val="2"/>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成本指标</w:t>
            </w:r>
          </w:p>
        </w:tc>
        <w:tc>
          <w:tcPr>
            <w:tcW w:w="1359" w:type="dxa"/>
            <w:gridSpan w:val="2"/>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488.196万元</w:t>
            </w:r>
          </w:p>
        </w:tc>
        <w:tc>
          <w:tcPr>
            <w:tcW w:w="1551" w:type="dxa"/>
            <w:gridSpan w:val="2"/>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4</w:t>
            </w:r>
            <w:r>
              <w:rPr>
                <w:rFonts w:hint="eastAsia" w:ascii="仿宋_GB2312" w:hAnsi="宋体" w:eastAsia="仿宋_GB2312" w:cs="宋体"/>
                <w:color w:val="000000"/>
                <w:kern w:val="0"/>
                <w:szCs w:val="21"/>
                <w:lang w:val="en-US" w:eastAsia="zh-CN"/>
              </w:rPr>
              <w:t>46</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87</w:t>
            </w:r>
            <w:r>
              <w:rPr>
                <w:rFonts w:hint="eastAsia" w:ascii="仿宋_GB2312" w:hAnsi="宋体" w:eastAsia="仿宋_GB2312" w:cs="宋体"/>
                <w:color w:val="000000"/>
                <w:kern w:val="0"/>
                <w:szCs w:val="21"/>
              </w:rPr>
              <w:t>6万元</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696"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1.8</w:t>
            </w:r>
          </w:p>
        </w:tc>
        <w:tc>
          <w:tcPr>
            <w:tcW w:w="1033" w:type="dxa"/>
            <w:gridSpan w:val="2"/>
            <w:vAlign w:val="center"/>
          </w:tcPr>
          <w:p>
            <w:pPr>
              <w:widowControl/>
              <w:spacing w:line="240" w:lineRule="exact"/>
              <w:jc w:val="center"/>
              <w:rPr>
                <w:rFonts w:hint="default" w:ascii="仿宋_GB2312" w:hAnsi="宋体" w:eastAsia="仿宋_GB2312" w:cs="宋体"/>
                <w:kern w:val="0"/>
                <w:szCs w:val="21"/>
                <w:lang w:val="en-US" w:eastAsia="zh-CN"/>
              </w:rPr>
            </w:pPr>
            <w:r>
              <w:rPr>
                <w:rFonts w:hint="default" w:ascii="仿宋_GB2312" w:hAnsi="宋体" w:eastAsia="仿宋_GB2312" w:cs="宋体"/>
                <w:kern w:val="0"/>
                <w:szCs w:val="21"/>
                <w:lang w:val="en-US" w:eastAsia="zh-CN"/>
              </w:rPr>
              <w:t>后续加强成本控制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restart"/>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指标</w:t>
            </w:r>
          </w:p>
        </w:tc>
        <w:tc>
          <w:tcPr>
            <w:tcW w:w="1178" w:type="dxa"/>
            <w:gridSpan w:val="2"/>
            <w:vAlign w:val="center"/>
          </w:tcPr>
          <w:p>
            <w:pPr>
              <w:widowControl/>
              <w:spacing w:line="240" w:lineRule="exact"/>
              <w:jc w:val="left"/>
              <w:rPr>
                <w:rFonts w:ascii="仿宋_GB2312" w:hAnsi="宋体" w:eastAsia="仿宋_GB2312" w:cs="宋体"/>
                <w:color w:val="000000"/>
                <w:kern w:val="0"/>
                <w:sz w:val="21"/>
                <w:szCs w:val="21"/>
                <w:lang w:val="en-US" w:eastAsia="zh-CN" w:bidi="ar-SA"/>
              </w:rPr>
            </w:pPr>
            <w:r>
              <w:rPr>
                <w:rFonts w:hint="eastAsia" w:ascii="仿宋_GB2312" w:hAnsi="宋体" w:eastAsia="仿宋_GB2312" w:cs="宋体"/>
                <w:kern w:val="0"/>
                <w:szCs w:val="21"/>
              </w:rPr>
              <w:t>提高出国人员树立公民意识、法律意识、文明意识和安全意识</w:t>
            </w:r>
          </w:p>
        </w:tc>
        <w:tc>
          <w:tcPr>
            <w:tcW w:w="1359" w:type="dxa"/>
            <w:gridSpan w:val="2"/>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得到</w:t>
            </w:r>
            <w:r>
              <w:rPr>
                <w:rFonts w:hint="eastAsia" w:ascii="仿宋_GB2312" w:hAnsi="宋体" w:eastAsia="仿宋_GB2312" w:cs="宋体"/>
                <w:kern w:val="0"/>
                <w:szCs w:val="21"/>
              </w:rPr>
              <w:t>提高</w:t>
            </w:r>
          </w:p>
        </w:tc>
        <w:tc>
          <w:tcPr>
            <w:tcW w:w="1551" w:type="dxa"/>
            <w:gridSpan w:val="2"/>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普遍提高</w:t>
            </w:r>
          </w:p>
        </w:tc>
        <w:tc>
          <w:tcPr>
            <w:tcW w:w="556" w:type="dxa"/>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10</w:t>
            </w:r>
          </w:p>
        </w:tc>
        <w:tc>
          <w:tcPr>
            <w:tcW w:w="696" w:type="dxa"/>
            <w:gridSpan w:val="2"/>
            <w:vAlign w:val="center"/>
          </w:tcPr>
          <w:p>
            <w:pPr>
              <w:widowControl/>
              <w:spacing w:line="240" w:lineRule="exact"/>
              <w:jc w:val="center"/>
              <w:rPr>
                <w:rFonts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9</w:t>
            </w:r>
          </w:p>
        </w:tc>
        <w:tc>
          <w:tcPr>
            <w:tcW w:w="1033" w:type="dxa"/>
            <w:gridSpan w:val="2"/>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绩效成果资料需进一步完善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restart"/>
            <w:vAlign w:val="center"/>
          </w:tcPr>
          <w:p>
            <w:pPr>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提高指挥部成员单位对境外安全情况的总体掌握程度</w:t>
            </w:r>
          </w:p>
        </w:tc>
        <w:tc>
          <w:tcPr>
            <w:tcW w:w="13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得到</w:t>
            </w:r>
            <w:r>
              <w:rPr>
                <w:rFonts w:hint="eastAsia" w:ascii="仿宋_GB2312" w:hAnsi="宋体" w:eastAsia="仿宋_GB2312" w:cs="宋体"/>
                <w:kern w:val="0"/>
                <w:szCs w:val="21"/>
              </w:rPr>
              <w:t>提高</w:t>
            </w:r>
          </w:p>
        </w:tc>
        <w:tc>
          <w:tcPr>
            <w:tcW w:w="155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普遍提高</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p>
        </w:tc>
        <w:tc>
          <w:tcPr>
            <w:tcW w:w="1033"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绩效成果资料进一步完善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Merge w:val="continue"/>
            <w:vAlign w:val="center"/>
          </w:tcPr>
          <w:p>
            <w:pPr>
              <w:widowControl/>
              <w:spacing w:line="240" w:lineRule="exact"/>
              <w:jc w:val="center"/>
              <w:rPr>
                <w:rFonts w:ascii="仿宋_GB2312" w:hAnsi="宋体" w:eastAsia="仿宋_GB2312" w:cs="宋体"/>
                <w:kern w:val="0"/>
                <w:szCs w:val="21"/>
              </w:rPr>
            </w:pPr>
          </w:p>
        </w:tc>
        <w:tc>
          <w:tcPr>
            <w:tcW w:w="1105" w:type="dxa"/>
            <w:vMerge w:val="continue"/>
            <w:vAlign w:val="center"/>
          </w:tcPr>
          <w:p>
            <w:pPr>
              <w:widowControl/>
              <w:spacing w:line="240" w:lineRule="exact"/>
              <w:jc w:val="center"/>
              <w:rPr>
                <w:rFonts w:ascii="仿宋_GB2312" w:hAnsi="宋体" w:eastAsia="仿宋_GB2312" w:cs="宋体"/>
                <w:kern w:val="0"/>
                <w:szCs w:val="21"/>
              </w:rPr>
            </w:pP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提升涉外突发事件的处置效率</w:t>
            </w:r>
          </w:p>
        </w:tc>
        <w:tc>
          <w:tcPr>
            <w:tcW w:w="1359"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得到提升</w:t>
            </w:r>
          </w:p>
        </w:tc>
        <w:tc>
          <w:tcPr>
            <w:tcW w:w="155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普遍</w:t>
            </w:r>
            <w:r>
              <w:rPr>
                <w:rFonts w:hint="eastAsia" w:ascii="仿宋_GB2312" w:hAnsi="宋体" w:eastAsia="仿宋_GB2312" w:cs="宋体"/>
                <w:kern w:val="0"/>
                <w:szCs w:val="21"/>
              </w:rPr>
              <w:t>提升</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8</w:t>
            </w:r>
          </w:p>
        </w:tc>
        <w:tc>
          <w:tcPr>
            <w:tcW w:w="1033" w:type="dxa"/>
            <w:gridSpan w:val="2"/>
            <w:vAlign w:val="center"/>
          </w:tcPr>
          <w:p>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绩效成果资料进一步完善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5" w:type="dxa"/>
            <w:vMerge w:val="continue"/>
            <w:vAlign w:val="center"/>
          </w:tcPr>
          <w:p>
            <w:pPr>
              <w:widowControl/>
              <w:spacing w:line="240" w:lineRule="exact"/>
              <w:jc w:val="center"/>
              <w:rPr>
                <w:rFonts w:ascii="仿宋_GB2312" w:hAnsi="宋体" w:eastAsia="仿宋_GB2312" w:cs="宋体"/>
                <w:kern w:val="0"/>
                <w:szCs w:val="21"/>
              </w:rPr>
            </w:pPr>
          </w:p>
        </w:tc>
        <w:tc>
          <w:tcPr>
            <w:tcW w:w="97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1178" w:type="dxa"/>
            <w:gridSpan w:val="2"/>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kern w:val="0"/>
                <w:szCs w:val="21"/>
              </w:rPr>
              <w:t>指挥部成员单位满意度</w:t>
            </w:r>
          </w:p>
        </w:tc>
        <w:tc>
          <w:tcPr>
            <w:tcW w:w="1359" w:type="dxa"/>
            <w:gridSpan w:val="2"/>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指挥部成员单位满意度大于90%</w:t>
            </w:r>
          </w:p>
        </w:tc>
        <w:tc>
          <w:tcPr>
            <w:tcW w:w="1551" w:type="dxa"/>
            <w:gridSpan w:val="2"/>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w:t>
            </w:r>
          </w:p>
        </w:tc>
        <w:tc>
          <w:tcPr>
            <w:tcW w:w="556" w:type="dxa"/>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96" w:type="dxa"/>
            <w:gridSpan w:val="2"/>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8</w:t>
            </w:r>
          </w:p>
        </w:tc>
        <w:tc>
          <w:tcPr>
            <w:tcW w:w="1033" w:type="dxa"/>
            <w:gridSpan w:val="2"/>
            <w:vAlign w:val="center"/>
          </w:tcPr>
          <w:p>
            <w:pPr>
              <w:widowControl/>
              <w:spacing w:line="240" w:lineRule="exact"/>
              <w:jc w:val="left"/>
              <w:rPr>
                <w:rFonts w:ascii="仿宋_GB2312" w:hAnsi="宋体" w:eastAsia="仿宋_GB2312" w:cs="宋体"/>
                <w:kern w:val="0"/>
                <w:szCs w:val="21"/>
              </w:rPr>
            </w:pPr>
            <w:r>
              <w:rPr>
                <w:rFonts w:hint="eastAsia" w:ascii="仿宋_GB2312" w:hAnsi="宋体" w:eastAsia="仿宋_GB2312" w:cs="宋体"/>
                <w:kern w:val="0"/>
                <w:szCs w:val="21"/>
              </w:rPr>
              <w:t>绩效成果资料进一步完善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exact"/>
          <w:jc w:val="center"/>
        </w:trPr>
        <w:tc>
          <w:tcPr>
            <w:tcW w:w="6753" w:type="dxa"/>
            <w:gridSpan w:val="9"/>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56" w:type="dxa"/>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696" w:type="dxa"/>
            <w:gridSpan w:val="2"/>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9</w:t>
            </w:r>
            <w:r>
              <w:rPr>
                <w:rFonts w:hint="eastAsia" w:ascii="仿宋_GB2312" w:hAnsi="宋体" w:eastAsia="仿宋_GB2312" w:cs="宋体"/>
                <w:color w:val="000000"/>
                <w:kern w:val="0"/>
                <w:szCs w:val="21"/>
                <w:lang w:val="en-US" w:eastAsia="zh-CN"/>
              </w:rPr>
              <w:t>3</w:t>
            </w:r>
          </w:p>
        </w:tc>
        <w:tc>
          <w:tcPr>
            <w:tcW w:w="1033" w:type="dxa"/>
            <w:gridSpan w:val="2"/>
            <w:vAlign w:val="center"/>
          </w:tcPr>
          <w:p>
            <w:pPr>
              <w:widowControl/>
              <w:spacing w:line="240" w:lineRule="exact"/>
              <w:jc w:val="left"/>
              <w:rPr>
                <w:rFonts w:ascii="仿宋_GB2312" w:hAnsi="宋体" w:eastAsia="仿宋_GB2312" w:cs="宋体"/>
                <w:kern w:val="0"/>
                <w:szCs w:val="21"/>
              </w:rPr>
            </w:pPr>
          </w:p>
        </w:tc>
      </w:tr>
    </w:tbl>
    <w:p>
      <w:pPr>
        <w:rPr>
          <w:rFonts w:ascii="仿宋_GB2312" w:eastAsia="仿宋_GB2312"/>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true"/>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iNjcyMjNlYjQ1ODdhOGNkMGY5NTFiMGQzYjdhMmUifQ=="/>
  </w:docVars>
  <w:rsids>
    <w:rsidRoot w:val="00187671"/>
    <w:rsid w:val="00010D71"/>
    <w:rsid w:val="00026193"/>
    <w:rsid w:val="00027774"/>
    <w:rsid w:val="00030B10"/>
    <w:rsid w:val="000E06AB"/>
    <w:rsid w:val="00103C37"/>
    <w:rsid w:val="00113563"/>
    <w:rsid w:val="00187671"/>
    <w:rsid w:val="001B25C1"/>
    <w:rsid w:val="001D3012"/>
    <w:rsid w:val="0020261C"/>
    <w:rsid w:val="0021665E"/>
    <w:rsid w:val="002A2063"/>
    <w:rsid w:val="002D4728"/>
    <w:rsid w:val="002F0AE6"/>
    <w:rsid w:val="00394DEB"/>
    <w:rsid w:val="003F3956"/>
    <w:rsid w:val="004067AC"/>
    <w:rsid w:val="004315F8"/>
    <w:rsid w:val="004778D9"/>
    <w:rsid w:val="004E2059"/>
    <w:rsid w:val="00502C99"/>
    <w:rsid w:val="00717227"/>
    <w:rsid w:val="0073745E"/>
    <w:rsid w:val="008510ED"/>
    <w:rsid w:val="0089633B"/>
    <w:rsid w:val="008B3144"/>
    <w:rsid w:val="008E53A5"/>
    <w:rsid w:val="00926716"/>
    <w:rsid w:val="00933716"/>
    <w:rsid w:val="009F2B2F"/>
    <w:rsid w:val="00AC6F91"/>
    <w:rsid w:val="00AE31BF"/>
    <w:rsid w:val="00B14B14"/>
    <w:rsid w:val="00B73890"/>
    <w:rsid w:val="00BD6FC3"/>
    <w:rsid w:val="00C252C3"/>
    <w:rsid w:val="00C25A2C"/>
    <w:rsid w:val="00C800D4"/>
    <w:rsid w:val="00C84E1A"/>
    <w:rsid w:val="00D30EB0"/>
    <w:rsid w:val="00D5651F"/>
    <w:rsid w:val="00D805FE"/>
    <w:rsid w:val="00D83E38"/>
    <w:rsid w:val="00DA7B07"/>
    <w:rsid w:val="00DD7427"/>
    <w:rsid w:val="00E168AD"/>
    <w:rsid w:val="00EA7CF5"/>
    <w:rsid w:val="00EC10C2"/>
    <w:rsid w:val="00EF587B"/>
    <w:rsid w:val="00F059F1"/>
    <w:rsid w:val="00F13CCD"/>
    <w:rsid w:val="00F2171F"/>
    <w:rsid w:val="00F377AA"/>
    <w:rsid w:val="068154EF"/>
    <w:rsid w:val="0B6D4C84"/>
    <w:rsid w:val="0BFE313E"/>
    <w:rsid w:val="0E1F1149"/>
    <w:rsid w:val="0EA855E3"/>
    <w:rsid w:val="112A1409"/>
    <w:rsid w:val="125E4936"/>
    <w:rsid w:val="14E82BDD"/>
    <w:rsid w:val="153E0A4F"/>
    <w:rsid w:val="174C6089"/>
    <w:rsid w:val="19EA6AAF"/>
    <w:rsid w:val="1E65704C"/>
    <w:rsid w:val="214E5B76"/>
    <w:rsid w:val="225A0CF8"/>
    <w:rsid w:val="231B5F2B"/>
    <w:rsid w:val="24661428"/>
    <w:rsid w:val="276500BD"/>
    <w:rsid w:val="30964F3A"/>
    <w:rsid w:val="33A262F5"/>
    <w:rsid w:val="35A3072E"/>
    <w:rsid w:val="37BE184F"/>
    <w:rsid w:val="3FC073E8"/>
    <w:rsid w:val="3FE2672D"/>
    <w:rsid w:val="45835E86"/>
    <w:rsid w:val="48F055E1"/>
    <w:rsid w:val="4A112A9E"/>
    <w:rsid w:val="4DA644C0"/>
    <w:rsid w:val="4EC72940"/>
    <w:rsid w:val="588E0972"/>
    <w:rsid w:val="58A67DF9"/>
    <w:rsid w:val="5AC90433"/>
    <w:rsid w:val="5B1E2376"/>
    <w:rsid w:val="5E403B84"/>
    <w:rsid w:val="61265BEC"/>
    <w:rsid w:val="658D5794"/>
    <w:rsid w:val="66E3632D"/>
    <w:rsid w:val="681349F0"/>
    <w:rsid w:val="6DF36E56"/>
    <w:rsid w:val="75E82B6F"/>
    <w:rsid w:val="7C2E71A3"/>
    <w:rsid w:val="7D580A83"/>
    <w:rsid w:val="DB7BA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7">
    <w:name w:val="页眉 字符"/>
    <w:basedOn w:val="6"/>
    <w:link w:val="3"/>
    <w:qFormat/>
    <w:uiPriority w:val="99"/>
    <w:rPr>
      <w:rFonts w:ascii="Times New Roman" w:hAnsi="Times New Roman" w:eastAsia="宋体" w:cs="Times New Roman"/>
      <w:sz w:val="18"/>
      <w:szCs w:val="18"/>
    </w:rPr>
  </w:style>
  <w:style w:type="character" w:customStyle="1" w:styleId="8">
    <w:name w:val="页脚 字符"/>
    <w:basedOn w:val="6"/>
    <w:link w:val="2"/>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2512</Words>
  <Characters>2639</Characters>
  <Lines>48</Lines>
  <Paragraphs>13</Paragraphs>
  <TotalTime>1</TotalTime>
  <ScaleCrop>false</ScaleCrop>
  <LinksUpToDate>false</LinksUpToDate>
  <CharactersWithSpaces>2696</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2023-04-23T10:27:00Z</dcterms:created>
  <dc:creator>18701553071@163.com</dc:creator>
  <cp:lastModifiedBy>user</cp:lastModifiedBy>
  <dcterms:modified xsi:type="dcterms:W3CDTF">2023-05-26T08:48:48Z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2BAFB25A07A64FCF9BA472B7DED94320_13</vt:lpwstr>
  </property>
</Properties>
</file>