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kinsoku/>
        <w:wordWrap/>
        <w:overflowPunct/>
        <w:topLinePunct w:val="0"/>
        <w:autoSpaceDE/>
        <w:autoSpaceDN/>
        <w:bidi w:val="0"/>
        <w:spacing w:line="560" w:lineRule="exact"/>
        <w:jc w:val="center"/>
        <w:textAlignment w:val="auto"/>
        <w:rPr>
          <w:rFonts w:ascii="方正小标宋简体" w:hAnsi="黑体" w:eastAsia="方正小标宋简体" w:cs="宋体"/>
          <w:color w:val="auto"/>
          <w:kern w:val="0"/>
          <w:sz w:val="52"/>
          <w:szCs w:val="52"/>
        </w:rPr>
      </w:pPr>
      <w:r>
        <w:rPr>
          <w:rFonts w:hint="eastAsia" w:ascii="方正小标宋简体" w:hAnsi="黑体" w:eastAsia="方正小标宋简体" w:cs="宋体"/>
          <w:color w:val="auto"/>
          <w:kern w:val="0"/>
          <w:sz w:val="52"/>
          <w:szCs w:val="52"/>
        </w:rPr>
        <w:t>北京市人民政府外事办公室</w:t>
      </w:r>
    </w:p>
    <w:p>
      <w:pPr>
        <w:pageBreakBefore w:val="0"/>
        <w:widowControl/>
        <w:kinsoku/>
        <w:wordWrap/>
        <w:overflowPunct/>
        <w:topLinePunct w:val="0"/>
        <w:autoSpaceDE/>
        <w:autoSpaceDN/>
        <w:bidi w:val="0"/>
        <w:spacing w:line="560" w:lineRule="exact"/>
        <w:jc w:val="center"/>
        <w:textAlignment w:val="auto"/>
        <w:rPr>
          <w:rFonts w:ascii="方正小标宋简体" w:hAnsi="黑体" w:eastAsia="方正小标宋简体" w:cs="宋体"/>
          <w:color w:val="auto"/>
          <w:kern w:val="0"/>
          <w:sz w:val="44"/>
          <w:szCs w:val="44"/>
        </w:rPr>
      </w:pPr>
      <w:r>
        <w:rPr>
          <w:rFonts w:hint="eastAsia" w:ascii="方正小标宋简体" w:hAnsi="黑体" w:eastAsia="方正小标宋简体" w:cs="宋体"/>
          <w:color w:val="auto"/>
          <w:kern w:val="0"/>
          <w:sz w:val="52"/>
          <w:szCs w:val="52"/>
        </w:rPr>
        <w:t>整体绩效评价报告</w:t>
      </w:r>
    </w:p>
    <w:p>
      <w:pPr>
        <w:pageBreakBefore w:val="0"/>
        <w:kinsoku/>
        <w:wordWrap/>
        <w:overflowPunct/>
        <w:topLinePunct w:val="0"/>
        <w:autoSpaceDE/>
        <w:autoSpaceDN/>
        <w:bidi w:val="0"/>
        <w:spacing w:line="560" w:lineRule="exact"/>
        <w:jc w:val="center"/>
        <w:textAlignment w:val="auto"/>
        <w:rPr>
          <w:rFonts w:ascii="方正小标宋简体" w:hAnsi="方正小标宋简体" w:eastAsia="方正小标宋简体"/>
          <w:color w:val="auto"/>
          <w:sz w:val="36"/>
          <w:szCs w:val="36"/>
        </w:rPr>
      </w:pPr>
    </w:p>
    <w:p>
      <w:pPr>
        <w:pStyle w:val="3"/>
        <w:pageBreakBefore w:val="0"/>
        <w:kinsoku/>
        <w:wordWrap/>
        <w:overflowPunct/>
        <w:topLinePunct w:val="0"/>
        <w:autoSpaceDE/>
        <w:autoSpaceDN/>
        <w:bidi w:val="0"/>
        <w:spacing w:before="217" w:after="217" w:line="560" w:lineRule="exact"/>
        <w:ind w:left="105" w:firstLine="640"/>
        <w:textAlignment w:val="auto"/>
        <w:rPr>
          <w:color w:val="auto"/>
        </w:rPr>
      </w:pPr>
      <w:bookmarkStart w:id="0" w:name="_Toc135677297"/>
      <w:r>
        <w:rPr>
          <w:rFonts w:hint="eastAsia"/>
          <w:color w:val="auto"/>
        </w:rPr>
        <w:t>一、部门概况</w:t>
      </w:r>
      <w:bookmarkEnd w:id="0"/>
    </w:p>
    <w:p>
      <w:pPr>
        <w:pStyle w:val="2"/>
        <w:pageBreakBefore w:val="0"/>
        <w:kinsoku/>
        <w:wordWrap/>
        <w:overflowPunct/>
        <w:topLinePunct w:val="0"/>
        <w:autoSpaceDE/>
        <w:autoSpaceDN/>
        <w:bidi w:val="0"/>
        <w:spacing w:line="560" w:lineRule="exact"/>
        <w:ind w:firstLine="643"/>
        <w:textAlignment w:val="auto"/>
        <w:rPr>
          <w:rFonts w:ascii="楷体" w:hAnsi="楷体"/>
          <w:color w:val="auto"/>
        </w:rPr>
      </w:pPr>
      <w:bookmarkStart w:id="1" w:name="_Toc135677298"/>
      <w:bookmarkStart w:id="2" w:name="_Toc135092816"/>
      <w:r>
        <w:rPr>
          <w:rFonts w:hint="eastAsia" w:ascii="楷体" w:hAnsi="楷体"/>
          <w:color w:val="auto"/>
        </w:rPr>
        <w:t>（一）机构设置及职责工作任务情况</w:t>
      </w:r>
      <w:bookmarkEnd w:id="1"/>
      <w:bookmarkEnd w:id="2"/>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rPr>
      </w:pPr>
      <w:r>
        <w:rPr>
          <w:rFonts w:ascii="仿宋_GB2312" w:hAnsi="宋体" w:eastAsia="仿宋_GB2312" w:cs="宋体"/>
          <w:color w:val="auto"/>
          <w:kern w:val="0"/>
          <w:sz w:val="32"/>
          <w:szCs w:val="32"/>
        </w:rPr>
        <w:t>1.机构设置情况</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北京市人民政府外事办公室（以下简称市政府外办）内设机构21个，分别为秘书处、规划处、协调督办处、综合处、法规处、礼宾处、环太平洋地区处、欧洲非洲亚洲处、国际处、港澳事务处、涉外管理处、因公出入境管理处、民间交流协调处、国际语言环境建设处、新闻处、领事保护处、国际信息处、人事处、机关党委、机关纪委和工会；下属3个事业单位，分别为北京市人民政府外事办公室国际交流中心、北京市人民政府外事办公室出入境人员服务中心和北京市人民政府外事办公室翻译中心。</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2.</w:t>
      </w:r>
      <w:r>
        <w:rPr>
          <w:rFonts w:hint="eastAsia" w:ascii="仿宋_GB2312" w:hAnsi="宋体" w:eastAsia="仿宋_GB2312" w:cs="宋体"/>
          <w:color w:val="auto"/>
          <w:kern w:val="0"/>
          <w:sz w:val="32"/>
          <w:szCs w:val="32"/>
        </w:rPr>
        <w:t>职责工作任务情况</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1</w:t>
      </w:r>
      <w:r>
        <w:rPr>
          <w:rFonts w:hint="eastAsia" w:ascii="仿宋_GB2312" w:hAnsi="宋体" w:eastAsia="仿宋_GB2312" w:cs="宋体"/>
          <w:color w:val="auto"/>
          <w:kern w:val="0"/>
          <w:sz w:val="32"/>
          <w:szCs w:val="32"/>
        </w:rPr>
        <w:t>）起草本市外事工作地方性法规草案、政府规章草案，研究拟订外事工作规划和制度，并组织实施。组织开展外事工作重大问题的调查研究。</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2</w:t>
      </w:r>
      <w:r>
        <w:rPr>
          <w:rFonts w:hint="eastAsia" w:ascii="仿宋_GB2312" w:hAnsi="宋体" w:eastAsia="仿宋_GB2312" w:cs="宋体"/>
          <w:color w:val="auto"/>
          <w:kern w:val="0"/>
          <w:sz w:val="32"/>
          <w:szCs w:val="32"/>
        </w:rPr>
        <w:t>）负责本市与香港、澳门特别行政区政府的有关工作联系，推动本市与香港、澳门在经济、科技、文化等领域的交流与合作。</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3</w:t>
      </w:r>
      <w:r>
        <w:rPr>
          <w:rFonts w:hint="eastAsia" w:ascii="仿宋_GB2312" w:hAnsi="宋体" w:eastAsia="仿宋_GB2312" w:cs="宋体"/>
          <w:color w:val="auto"/>
          <w:kern w:val="0"/>
          <w:sz w:val="32"/>
          <w:szCs w:val="32"/>
        </w:rPr>
        <w:t>）负责本市与外国地方政府间的交流，办理与外国城市或地区缔结友好城市关系事项，管理与国际友好城市的交往活动。指导本市民间对外交往工作。</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4</w:t>
      </w:r>
      <w:r>
        <w:rPr>
          <w:rFonts w:hint="eastAsia" w:ascii="仿宋_GB2312" w:hAnsi="宋体" w:eastAsia="仿宋_GB2312" w:cs="宋体"/>
          <w:color w:val="auto"/>
          <w:kern w:val="0"/>
          <w:sz w:val="32"/>
          <w:szCs w:val="32"/>
        </w:rPr>
        <w:t>）负责在京全国性行业协会、商会外事属地化管理工作。根据外交部、国务院港澳事务办公室和市委、市政府的授权，管理、指导本市各单位因公出入境工作。负责核发外国人来华签证邀请函。承办各单位报请市委、市政府审批的外事文件。</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（5）承办授予外国人本市荣誉称号。负责牵头应对和处理本市重大涉外突发事件。配合外交部及驻外使领馆做好境外领事保护工作，管理外国驻本市领事机构，协调处理与外国驻京外交机构的有关事宜。</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6</w:t>
      </w:r>
      <w:r>
        <w:rPr>
          <w:rFonts w:hint="eastAsia" w:ascii="仿宋_GB2312" w:hAnsi="宋体" w:eastAsia="仿宋_GB2312" w:cs="宋体"/>
          <w:color w:val="auto"/>
          <w:kern w:val="0"/>
          <w:sz w:val="32"/>
          <w:szCs w:val="32"/>
        </w:rPr>
        <w:t>）负责统筹协调在京举办的重大国事活动服务保障工作。负责组织协调以市政府及以市政府外办名义举办的大型国际多边活动（会议）。承担本市参与国际组织和国际多边活动的相关工作。审核各区、市有关部门和相关单位申办和举办的国际会议。</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7</w:t>
      </w:r>
      <w:r>
        <w:rPr>
          <w:rFonts w:hint="eastAsia" w:ascii="仿宋_GB2312" w:hAnsi="宋体" w:eastAsia="仿宋_GB2312" w:cs="宋体"/>
          <w:color w:val="auto"/>
          <w:kern w:val="0"/>
          <w:sz w:val="32"/>
          <w:szCs w:val="32"/>
        </w:rPr>
        <w:t>）受外交部委托，办理本市外国常驻新闻机构和外国记者事务。负责港澳记者在本市采访的有关事宜。</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8</w:t>
      </w:r>
      <w:r>
        <w:rPr>
          <w:rFonts w:hint="eastAsia" w:ascii="仿宋_GB2312" w:hAnsi="宋体" w:eastAsia="仿宋_GB2312" w:cs="宋体"/>
          <w:color w:val="auto"/>
          <w:kern w:val="0"/>
          <w:sz w:val="32"/>
          <w:szCs w:val="32"/>
        </w:rPr>
        <w:t>）组织协调推进本市国际语言环境建设工作。</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9</w:t>
      </w:r>
      <w:r>
        <w:rPr>
          <w:rFonts w:hint="eastAsia" w:ascii="仿宋_GB2312" w:hAnsi="宋体" w:eastAsia="仿宋_GB2312" w:cs="宋体"/>
          <w:color w:val="auto"/>
          <w:kern w:val="0"/>
          <w:sz w:val="32"/>
          <w:szCs w:val="32"/>
        </w:rPr>
        <w:t>）负责对本市外事干部和涉外人员进行对外政策和外事纪律的教育。会同有关部门检查外事纪律的执行情况，并对违反外事纪律问题提出处理意见和建议。</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10</w:t>
      </w:r>
      <w:r>
        <w:rPr>
          <w:rFonts w:hint="eastAsia" w:ascii="仿宋_GB2312" w:hAnsi="宋体" w:eastAsia="仿宋_GB2312" w:cs="宋体"/>
          <w:color w:val="auto"/>
          <w:kern w:val="0"/>
          <w:sz w:val="32"/>
          <w:szCs w:val="32"/>
        </w:rPr>
        <w:t>）完成市委、市政府交办的其他任务。</w:t>
      </w:r>
    </w:p>
    <w:p>
      <w:pPr>
        <w:pStyle w:val="2"/>
        <w:pageBreakBefore w:val="0"/>
        <w:kinsoku/>
        <w:wordWrap/>
        <w:overflowPunct/>
        <w:topLinePunct w:val="0"/>
        <w:autoSpaceDE/>
        <w:autoSpaceDN/>
        <w:bidi w:val="0"/>
        <w:spacing w:line="560" w:lineRule="exact"/>
        <w:ind w:firstLine="643"/>
        <w:textAlignment w:val="auto"/>
        <w:rPr>
          <w:rFonts w:ascii="楷体" w:hAnsi="楷体"/>
          <w:color w:val="auto"/>
        </w:rPr>
      </w:pPr>
      <w:bookmarkStart w:id="3" w:name="_Toc135677299"/>
      <w:bookmarkStart w:id="4" w:name="_Toc135092817"/>
      <w:r>
        <w:rPr>
          <w:rFonts w:hint="eastAsia" w:ascii="楷体" w:hAnsi="楷体"/>
          <w:color w:val="auto"/>
        </w:rPr>
        <w:t>（二）部门整体绩效目标设立情况</w:t>
      </w:r>
      <w:bookmarkEnd w:id="3"/>
      <w:bookmarkEnd w:id="4"/>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1.部门绩效目标情况</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2022年，市外办以习近平新时代中国特色社会主义思想和习近平外交思想为指导，深入贯彻习近平总书记对北京重要讲话精神，增强“四个意识”，坚定“四个自信”，做到“两个维护”，坚持党对外事工作的集中统一领导，做好较长时间应对外部环境变化的思想和工作准备，进一步推动对内对外工作深度融合，更加积极主动服从服务党和国家对外工作大局，更加精准高效服务首都经济社会发展，推动全市对外工作和国际交往中心功能建设取得新进展新成效。</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具体绩效指标设定如下：</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绩效指标</w:t>
      </w:r>
      <w:r>
        <w:rPr>
          <w:rFonts w:hint="eastAsia" w:ascii="仿宋_GB2312" w:hAnsi="宋体" w:eastAsia="仿宋_GB2312" w:cs="宋体"/>
          <w:color w:val="auto"/>
          <w:kern w:val="0"/>
          <w:sz w:val="32"/>
          <w:szCs w:val="32"/>
          <w:highlight w:val="none"/>
          <w:lang w:eastAsia="zh-CN"/>
        </w:rPr>
        <w:t>一</w:t>
      </w:r>
      <w:r>
        <w:rPr>
          <w:rFonts w:hint="eastAsia" w:ascii="仿宋_GB2312" w:hAnsi="宋体" w:eastAsia="仿宋_GB2312" w:cs="宋体"/>
          <w:color w:val="auto"/>
          <w:kern w:val="0"/>
          <w:sz w:val="32"/>
          <w:szCs w:val="32"/>
          <w:highlight w:val="none"/>
        </w:rPr>
        <w:t>：全力配合做好在京举办的重大国事活动服务保障，高标准完成</w:t>
      </w:r>
      <w:r>
        <w:rPr>
          <w:rFonts w:ascii="仿宋_GB2312" w:hAnsi="宋体" w:eastAsia="仿宋_GB2312" w:cs="宋体"/>
          <w:color w:val="auto"/>
          <w:kern w:val="0"/>
          <w:sz w:val="32"/>
          <w:szCs w:val="32"/>
          <w:highlight w:val="none"/>
        </w:rPr>
        <w:t>2022年冬奥会和</w:t>
      </w:r>
      <w:r>
        <w:rPr>
          <w:rFonts w:hint="eastAsia" w:ascii="仿宋_GB2312" w:hAnsi="宋体" w:eastAsia="仿宋_GB2312" w:cs="宋体"/>
          <w:color w:val="auto"/>
          <w:kern w:val="0"/>
          <w:sz w:val="32"/>
          <w:szCs w:val="32"/>
          <w:highlight w:val="none"/>
        </w:rPr>
        <w:t>冬残奥会外事任务。</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绩效指标</w:t>
      </w:r>
      <w:r>
        <w:rPr>
          <w:rFonts w:hint="eastAsia" w:ascii="仿宋_GB2312" w:hAnsi="宋体" w:eastAsia="仿宋_GB2312" w:cs="宋体"/>
          <w:color w:val="auto"/>
          <w:kern w:val="0"/>
          <w:sz w:val="32"/>
          <w:szCs w:val="32"/>
          <w:highlight w:val="none"/>
          <w:lang w:eastAsia="zh-CN"/>
        </w:rPr>
        <w:t>二</w:t>
      </w:r>
      <w:r>
        <w:rPr>
          <w:rFonts w:hint="eastAsia" w:ascii="仿宋_GB2312" w:hAnsi="宋体" w:eastAsia="仿宋_GB2312" w:cs="宋体"/>
          <w:color w:val="auto"/>
          <w:kern w:val="0"/>
          <w:sz w:val="32"/>
          <w:szCs w:val="32"/>
          <w:highlight w:val="none"/>
        </w:rPr>
        <w:t>：做好涉外安全教育，提升“领保进万家”“月度大讲堂”等品牌活动影响力。</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rPr>
        <w:t>绩效指标三：</w:t>
      </w:r>
      <w:r>
        <w:rPr>
          <w:rFonts w:hint="eastAsia" w:ascii="仿宋_GB2312" w:hAnsi="宋体" w:eastAsia="仿宋_GB2312" w:cs="宋体"/>
          <w:color w:val="auto"/>
          <w:kern w:val="0"/>
          <w:sz w:val="32"/>
          <w:szCs w:val="32"/>
          <w:highlight w:val="none"/>
          <w:lang w:val="en-US" w:eastAsia="zh-CN"/>
        </w:rPr>
        <w:t>多元化呈现北京国际城市形象，积极展现国际交往中心功能建设成果。</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绩效指标</w:t>
      </w:r>
      <w:r>
        <w:rPr>
          <w:rFonts w:hint="eastAsia" w:ascii="仿宋_GB2312" w:hAnsi="宋体" w:eastAsia="仿宋_GB2312" w:cs="宋体"/>
          <w:color w:val="auto"/>
          <w:kern w:val="0"/>
          <w:sz w:val="32"/>
          <w:szCs w:val="32"/>
          <w:lang w:eastAsia="zh-CN"/>
        </w:rPr>
        <w:t>四</w:t>
      </w:r>
      <w:r>
        <w:rPr>
          <w:rFonts w:hint="eastAsia" w:ascii="仿宋_GB2312" w:hAnsi="宋体" w:eastAsia="仿宋_GB2312" w:cs="宋体"/>
          <w:color w:val="auto"/>
          <w:kern w:val="0"/>
          <w:sz w:val="32"/>
          <w:szCs w:val="32"/>
        </w:rPr>
        <w:t>：推动落实《北京市国际交往语言环境建设条例》。</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绩效指标五：</w:t>
      </w:r>
      <w:r>
        <w:rPr>
          <w:rFonts w:hint="eastAsia" w:ascii="仿宋_GB2312" w:hAnsi="宋体" w:eastAsia="仿宋_GB2312" w:cs="宋体"/>
          <w:color w:val="auto"/>
          <w:kern w:val="0"/>
          <w:sz w:val="32"/>
          <w:szCs w:val="32"/>
          <w:lang w:eastAsia="zh-CN"/>
        </w:rPr>
        <w:t>持续做好疫情常态下高层外事工作，</w:t>
      </w:r>
      <w:r>
        <w:rPr>
          <w:rFonts w:hint="eastAsia" w:ascii="仿宋_GB2312" w:hAnsi="宋体" w:eastAsia="仿宋_GB2312" w:cs="宋体"/>
          <w:color w:val="auto"/>
          <w:kern w:val="0"/>
          <w:sz w:val="32"/>
          <w:szCs w:val="32"/>
          <w:lang w:val="en-US" w:eastAsia="zh-CN"/>
        </w:rPr>
        <w:t>精心策划组织“云外事”活动。</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绩效指标</w:t>
      </w:r>
      <w:r>
        <w:rPr>
          <w:rFonts w:hint="eastAsia" w:ascii="仿宋_GB2312" w:hAnsi="宋体" w:eastAsia="仿宋_GB2312" w:cs="宋体"/>
          <w:color w:val="auto"/>
          <w:kern w:val="0"/>
          <w:sz w:val="32"/>
          <w:szCs w:val="32"/>
          <w:lang w:eastAsia="zh-CN"/>
        </w:rPr>
        <w:t>六</w:t>
      </w:r>
      <w:r>
        <w:rPr>
          <w:rFonts w:hint="eastAsia" w:ascii="仿宋_GB2312" w:hAnsi="宋体" w:eastAsia="仿宋_GB2312" w:cs="宋体"/>
          <w:color w:val="auto"/>
          <w:kern w:val="0"/>
          <w:sz w:val="32"/>
          <w:szCs w:val="32"/>
        </w:rPr>
        <w:t>：聚焦北京城市发展重点任务，对标国际一流，深入开展国际比较研究，为市委市政府提供专业、务实、精致的决策信息参考。</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绩效指标</w:t>
      </w:r>
      <w:r>
        <w:rPr>
          <w:rFonts w:hint="eastAsia" w:ascii="仿宋_GB2312" w:hAnsi="宋体" w:eastAsia="仿宋_GB2312" w:cs="宋体"/>
          <w:color w:val="auto"/>
          <w:kern w:val="0"/>
          <w:sz w:val="32"/>
          <w:szCs w:val="32"/>
          <w:lang w:eastAsia="zh-CN"/>
        </w:rPr>
        <w:t>七</w:t>
      </w:r>
      <w:r>
        <w:rPr>
          <w:rFonts w:hint="eastAsia" w:ascii="仿宋_GB2312" w:hAnsi="宋体" w:eastAsia="仿宋_GB2312" w:cs="宋体"/>
          <w:color w:val="auto"/>
          <w:kern w:val="0"/>
          <w:sz w:val="32"/>
          <w:szCs w:val="32"/>
        </w:rPr>
        <w:t>：持续提升预防性领事保护服务水平。</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auto"/>
        </w:rPr>
      </w:pPr>
      <w:r>
        <w:rPr>
          <w:rFonts w:hint="eastAsia" w:ascii="仿宋_GB2312" w:hAnsi="宋体" w:eastAsia="仿宋_GB2312" w:cs="宋体"/>
          <w:color w:val="auto"/>
          <w:kern w:val="0"/>
          <w:sz w:val="32"/>
          <w:szCs w:val="32"/>
        </w:rPr>
        <w:t>绩效指标</w:t>
      </w:r>
      <w:r>
        <w:rPr>
          <w:rFonts w:hint="eastAsia" w:ascii="仿宋_GB2312" w:hAnsi="宋体" w:eastAsia="仿宋_GB2312" w:cs="宋体"/>
          <w:color w:val="auto"/>
          <w:kern w:val="0"/>
          <w:sz w:val="32"/>
          <w:szCs w:val="32"/>
          <w:lang w:eastAsia="zh-CN"/>
        </w:rPr>
        <w:t>八</w:t>
      </w:r>
      <w:r>
        <w:rPr>
          <w:rFonts w:hint="eastAsia" w:ascii="仿宋_GB2312" w:hAnsi="宋体" w:eastAsia="仿宋_GB2312" w:cs="宋体"/>
          <w:color w:val="auto"/>
          <w:kern w:val="0"/>
          <w:sz w:val="32"/>
          <w:szCs w:val="32"/>
        </w:rPr>
        <w:t>：强化党建工作引领，加强干部队伍建设。</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绩效指标</w:t>
      </w:r>
      <w:r>
        <w:rPr>
          <w:rFonts w:hint="eastAsia" w:ascii="仿宋_GB2312" w:hAnsi="宋体" w:eastAsia="仿宋_GB2312" w:cs="宋体"/>
          <w:color w:val="auto"/>
          <w:kern w:val="0"/>
          <w:sz w:val="32"/>
          <w:szCs w:val="32"/>
          <w:lang w:eastAsia="zh-CN"/>
        </w:rPr>
        <w:t>九</w:t>
      </w:r>
      <w:r>
        <w:rPr>
          <w:rFonts w:hint="eastAsia" w:ascii="仿宋_GB2312" w:hAnsi="宋体" w:eastAsia="仿宋_GB2312" w:cs="宋体"/>
          <w:color w:val="auto"/>
          <w:kern w:val="0"/>
          <w:sz w:val="32"/>
          <w:szCs w:val="32"/>
        </w:rPr>
        <w:t>：建立北京市外事信息资源综合管理大数据平台。</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绩效指标</w:t>
      </w:r>
      <w:r>
        <w:rPr>
          <w:rFonts w:hint="eastAsia" w:ascii="仿宋_GB2312" w:hAnsi="宋体" w:eastAsia="仿宋_GB2312" w:cs="宋体"/>
          <w:color w:val="auto"/>
          <w:kern w:val="0"/>
          <w:sz w:val="32"/>
          <w:szCs w:val="32"/>
          <w:lang w:eastAsia="zh-CN"/>
        </w:rPr>
        <w:t>十</w:t>
      </w:r>
      <w:r>
        <w:rPr>
          <w:rFonts w:hint="eastAsia" w:ascii="仿宋_GB2312" w:hAnsi="宋体" w:eastAsia="仿宋_GB2312" w:cs="宋体"/>
          <w:color w:val="auto"/>
          <w:kern w:val="0"/>
          <w:sz w:val="32"/>
          <w:szCs w:val="32"/>
        </w:rPr>
        <w:t>：推动《北京市“十四五”时期加强国际交往中心功能建设规划》和重点任务、项目、政策落地、见效。</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绩效指标</w:t>
      </w:r>
      <w:r>
        <w:rPr>
          <w:rFonts w:hint="eastAsia" w:ascii="仿宋_GB2312" w:hAnsi="宋体" w:eastAsia="仿宋_GB2312" w:cs="宋体"/>
          <w:color w:val="auto"/>
          <w:kern w:val="0"/>
          <w:sz w:val="32"/>
          <w:szCs w:val="32"/>
          <w:lang w:eastAsia="zh-CN"/>
        </w:rPr>
        <w:t>十一</w:t>
      </w:r>
      <w:r>
        <w:rPr>
          <w:rFonts w:hint="eastAsia" w:ascii="仿宋_GB2312" w:hAnsi="宋体" w:eastAsia="仿宋_GB2312" w:cs="宋体"/>
          <w:color w:val="auto"/>
          <w:kern w:val="0"/>
          <w:sz w:val="32"/>
          <w:szCs w:val="32"/>
        </w:rPr>
        <w:t>：发挥首都联防联控机制作用，落实全链条防控管理措施，把好口岸入境关，做好入境后闭环管理。坚持“严格防疫、礼遇关照”原则，做好涉外人员防疫管理工作。</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2.绩效目标设立依据</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2022年是党的二十大召开之年，也是北京冬奥之年。市政府外办坚持以习近平新时代中国特色社会主义思想和习近平外交思想为指导，深入贯彻习近平总书记对北京一系列重要讲话精神，在市委市政府的坚强领导和中央</w:t>
      </w:r>
      <w:r>
        <w:rPr>
          <w:rFonts w:hint="eastAsia" w:ascii="仿宋_GB2312" w:hAnsi="宋体" w:eastAsia="仿宋_GB2312" w:cs="宋体"/>
          <w:color w:val="auto"/>
          <w:kern w:val="0"/>
          <w:sz w:val="32"/>
          <w:szCs w:val="32"/>
          <w:lang w:eastAsia="zh-CN"/>
        </w:rPr>
        <w:t>相关</w:t>
      </w:r>
      <w:r>
        <w:rPr>
          <w:rFonts w:ascii="仿宋_GB2312" w:hAnsi="宋体" w:eastAsia="仿宋_GB2312" w:cs="宋体"/>
          <w:color w:val="auto"/>
          <w:kern w:val="0"/>
          <w:sz w:val="32"/>
          <w:szCs w:val="32"/>
        </w:rPr>
        <w:t>部门的支持指导下，踔厉奋发、勇毅前行，全力服务新时代中国特色大国外交和首都高质量发展，北京外事工作和国际交往中心功能建设取得新进展新成效。</w:t>
      </w:r>
    </w:p>
    <w:p>
      <w:pPr>
        <w:pageBreakBefore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val="en-US" w:eastAsia="zh-CN"/>
        </w:rPr>
        <w:t>3.</w:t>
      </w:r>
      <w:r>
        <w:rPr>
          <w:rFonts w:ascii="仿宋_GB2312" w:hAnsi="宋体" w:eastAsia="仿宋_GB2312" w:cs="宋体"/>
          <w:color w:val="auto"/>
          <w:kern w:val="0"/>
          <w:sz w:val="32"/>
          <w:szCs w:val="32"/>
        </w:rPr>
        <w:t>目标与职责任务匹配情况</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市政府外办整体绩效目标设立，能够紧密结合部门职责，通过对比市政府外办202</w:t>
      </w:r>
      <w:r>
        <w:rPr>
          <w:rFonts w:hint="eastAsia" w:ascii="仿宋_GB2312" w:hAnsi="宋体" w:eastAsia="仿宋_GB2312" w:cs="宋体"/>
          <w:color w:val="auto"/>
          <w:kern w:val="0"/>
          <w:sz w:val="32"/>
          <w:szCs w:val="32"/>
          <w:lang w:val="en-US" w:eastAsia="zh-CN"/>
        </w:rPr>
        <w:t>2</w:t>
      </w:r>
      <w:r>
        <w:rPr>
          <w:rFonts w:hint="eastAsia" w:ascii="仿宋_GB2312" w:hAnsi="宋体" w:eastAsia="仿宋_GB2312" w:cs="宋体"/>
          <w:color w:val="auto"/>
          <w:kern w:val="0"/>
          <w:sz w:val="32"/>
          <w:szCs w:val="32"/>
        </w:rPr>
        <w:t>年工作要点等资料，部门整体绩效目标及相关指标涵盖整个年度重点工作任务，匹配程度较高。</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4.目标合理性</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市政府外办所设立目标与部门职责密切相关，与年度工作任务相符，目标设定科学、合理。</w:t>
      </w:r>
    </w:p>
    <w:p>
      <w:pPr>
        <w:pStyle w:val="3"/>
        <w:pageBreakBefore w:val="0"/>
        <w:kinsoku/>
        <w:wordWrap/>
        <w:overflowPunct/>
        <w:topLinePunct w:val="0"/>
        <w:autoSpaceDE/>
        <w:autoSpaceDN/>
        <w:bidi w:val="0"/>
        <w:spacing w:before="217" w:after="217" w:line="560" w:lineRule="exact"/>
        <w:ind w:left="105" w:firstLine="640"/>
        <w:textAlignment w:val="auto"/>
        <w:rPr>
          <w:color w:val="auto"/>
        </w:rPr>
      </w:pPr>
      <w:bookmarkStart w:id="5" w:name="_Toc135677300"/>
      <w:r>
        <w:rPr>
          <w:rFonts w:hint="eastAsia"/>
          <w:color w:val="auto"/>
        </w:rPr>
        <w:t>二</w:t>
      </w:r>
      <w:r>
        <w:rPr>
          <w:color w:val="auto"/>
        </w:rPr>
        <w:t>、</w:t>
      </w:r>
      <w:r>
        <w:rPr>
          <w:rFonts w:hint="eastAsia"/>
          <w:color w:val="auto"/>
        </w:rPr>
        <w:t>当年</w:t>
      </w:r>
      <w:r>
        <w:rPr>
          <w:color w:val="auto"/>
        </w:rPr>
        <w:t>预算执行情况</w:t>
      </w:r>
      <w:bookmarkEnd w:id="5"/>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2022</w:t>
      </w:r>
      <w:r>
        <w:rPr>
          <w:rFonts w:hint="eastAsia" w:ascii="仿宋_GB2312" w:hAnsi="宋体" w:eastAsia="仿宋_GB2312" w:cs="宋体"/>
          <w:color w:val="auto"/>
          <w:kern w:val="0"/>
          <w:sz w:val="32"/>
          <w:szCs w:val="32"/>
        </w:rPr>
        <w:t>年</w:t>
      </w:r>
      <w:r>
        <w:rPr>
          <w:rFonts w:ascii="仿宋_GB2312" w:hAnsi="宋体" w:eastAsia="仿宋_GB2312" w:cs="宋体"/>
          <w:color w:val="auto"/>
          <w:kern w:val="0"/>
          <w:sz w:val="32"/>
          <w:szCs w:val="32"/>
        </w:rPr>
        <w:t>全年</w:t>
      </w:r>
      <w:r>
        <w:rPr>
          <w:rFonts w:hint="eastAsia" w:ascii="仿宋_GB2312" w:hAnsi="宋体" w:eastAsia="仿宋_GB2312" w:cs="宋体"/>
          <w:color w:val="auto"/>
          <w:kern w:val="0"/>
          <w:sz w:val="32"/>
          <w:szCs w:val="32"/>
        </w:rPr>
        <w:t>预算数</w:t>
      </w:r>
      <w:r>
        <w:rPr>
          <w:rFonts w:ascii="仿宋_GB2312" w:hAnsi="宋体" w:eastAsia="仿宋_GB2312" w:cs="宋体"/>
          <w:color w:val="auto"/>
          <w:kern w:val="0"/>
          <w:sz w:val="32"/>
          <w:szCs w:val="32"/>
        </w:rPr>
        <w:t>14447.135671</w:t>
      </w:r>
      <w:r>
        <w:rPr>
          <w:rFonts w:hint="eastAsia" w:ascii="仿宋_GB2312" w:hAnsi="宋体" w:eastAsia="仿宋_GB2312" w:cs="宋体"/>
          <w:color w:val="auto"/>
          <w:kern w:val="0"/>
          <w:sz w:val="32"/>
          <w:szCs w:val="32"/>
        </w:rPr>
        <w:t>万元</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其中</w:t>
      </w:r>
      <w:r>
        <w:rPr>
          <w:rFonts w:ascii="仿宋_GB2312" w:hAnsi="宋体" w:eastAsia="仿宋_GB2312" w:cs="宋体"/>
          <w:color w:val="auto"/>
          <w:kern w:val="0"/>
          <w:sz w:val="32"/>
          <w:szCs w:val="32"/>
        </w:rPr>
        <w:t>，基本</w:t>
      </w:r>
      <w:r>
        <w:rPr>
          <w:rFonts w:hint="eastAsia" w:ascii="仿宋_GB2312" w:hAnsi="宋体" w:eastAsia="仿宋_GB2312" w:cs="宋体"/>
          <w:color w:val="auto"/>
          <w:kern w:val="0"/>
          <w:sz w:val="32"/>
          <w:szCs w:val="32"/>
        </w:rPr>
        <w:t>支出</w:t>
      </w:r>
      <w:r>
        <w:rPr>
          <w:rFonts w:ascii="仿宋_GB2312" w:hAnsi="宋体" w:eastAsia="仿宋_GB2312" w:cs="宋体"/>
          <w:color w:val="auto"/>
          <w:kern w:val="0"/>
          <w:sz w:val="32"/>
          <w:szCs w:val="32"/>
        </w:rPr>
        <w:t>预算数9483.355121万元，</w:t>
      </w:r>
      <w:r>
        <w:rPr>
          <w:rFonts w:hint="eastAsia" w:ascii="仿宋_GB2312" w:hAnsi="宋体" w:eastAsia="仿宋_GB2312" w:cs="宋体"/>
          <w:color w:val="auto"/>
          <w:kern w:val="0"/>
          <w:sz w:val="32"/>
          <w:szCs w:val="32"/>
        </w:rPr>
        <w:t>项目支出预算数</w:t>
      </w:r>
      <w:r>
        <w:rPr>
          <w:rFonts w:ascii="仿宋_GB2312" w:hAnsi="宋体" w:eastAsia="仿宋_GB2312" w:cs="宋体"/>
          <w:color w:val="auto"/>
          <w:kern w:val="0"/>
          <w:sz w:val="32"/>
          <w:szCs w:val="32"/>
        </w:rPr>
        <w:t>4963.780550万元，其他支出</w:t>
      </w:r>
      <w:r>
        <w:rPr>
          <w:rFonts w:hint="eastAsia" w:ascii="仿宋_GB2312" w:hAnsi="宋体" w:eastAsia="仿宋_GB2312" w:cs="宋体"/>
          <w:color w:val="auto"/>
          <w:kern w:val="0"/>
          <w:sz w:val="32"/>
          <w:szCs w:val="32"/>
        </w:rPr>
        <w:t>预算数</w:t>
      </w:r>
      <w:r>
        <w:rPr>
          <w:rFonts w:ascii="仿宋_GB2312" w:hAnsi="宋体" w:eastAsia="仿宋_GB2312" w:cs="宋体"/>
          <w:color w:val="auto"/>
          <w:kern w:val="0"/>
          <w:sz w:val="32"/>
          <w:szCs w:val="32"/>
        </w:rPr>
        <w:t>0万元</w:t>
      </w: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资金总体</w:t>
      </w:r>
      <w:r>
        <w:rPr>
          <w:rFonts w:hint="eastAsia" w:ascii="仿宋_GB2312" w:hAnsi="宋体" w:eastAsia="仿宋_GB2312" w:cs="宋体"/>
          <w:color w:val="auto"/>
          <w:kern w:val="0"/>
          <w:sz w:val="32"/>
          <w:szCs w:val="32"/>
        </w:rPr>
        <w:t>支出</w:t>
      </w:r>
      <w:r>
        <w:rPr>
          <w:rFonts w:ascii="仿宋_GB2312" w:hAnsi="宋体" w:eastAsia="仿宋_GB2312" w:cs="宋体"/>
          <w:color w:val="auto"/>
          <w:kern w:val="0"/>
          <w:sz w:val="32"/>
          <w:szCs w:val="32"/>
        </w:rPr>
        <w:t>13463.524637万元，其中，基本支出8985.351426万元，项目</w:t>
      </w:r>
      <w:r>
        <w:rPr>
          <w:rFonts w:hint="eastAsia" w:ascii="仿宋_GB2312" w:hAnsi="宋体" w:eastAsia="仿宋_GB2312" w:cs="宋体"/>
          <w:color w:val="auto"/>
          <w:kern w:val="0"/>
          <w:sz w:val="32"/>
          <w:szCs w:val="32"/>
        </w:rPr>
        <w:t>支出</w:t>
      </w:r>
      <w:r>
        <w:rPr>
          <w:rFonts w:ascii="仿宋_GB2312" w:hAnsi="宋体" w:eastAsia="仿宋_GB2312" w:cs="宋体"/>
          <w:color w:val="auto"/>
          <w:kern w:val="0"/>
          <w:sz w:val="32"/>
          <w:szCs w:val="32"/>
        </w:rPr>
        <w:t>4478.173211万元，其他支出</w:t>
      </w:r>
      <w:r>
        <w:rPr>
          <w:rFonts w:hint="eastAsia" w:ascii="仿宋_GB2312" w:hAnsi="宋体" w:eastAsia="仿宋_GB2312" w:cs="宋体"/>
          <w:color w:val="auto"/>
          <w:kern w:val="0"/>
          <w:sz w:val="32"/>
          <w:szCs w:val="32"/>
        </w:rPr>
        <w:t>0</w:t>
      </w:r>
      <w:r>
        <w:rPr>
          <w:rFonts w:ascii="仿宋_GB2312" w:hAnsi="宋体" w:eastAsia="仿宋_GB2312" w:cs="宋体"/>
          <w:color w:val="auto"/>
          <w:kern w:val="0"/>
          <w:sz w:val="32"/>
          <w:szCs w:val="32"/>
        </w:rPr>
        <w:t>万元。</w:t>
      </w:r>
      <w:r>
        <w:rPr>
          <w:rFonts w:hint="eastAsia" w:ascii="仿宋_GB2312" w:hAnsi="宋体" w:eastAsia="仿宋_GB2312" w:cs="宋体"/>
          <w:color w:val="auto"/>
          <w:kern w:val="0"/>
          <w:sz w:val="32"/>
          <w:szCs w:val="32"/>
        </w:rPr>
        <w:t>预算</w:t>
      </w:r>
      <w:r>
        <w:rPr>
          <w:rFonts w:ascii="仿宋_GB2312" w:hAnsi="宋体" w:eastAsia="仿宋_GB2312" w:cs="宋体"/>
          <w:color w:val="auto"/>
          <w:kern w:val="0"/>
          <w:sz w:val="32"/>
          <w:szCs w:val="32"/>
        </w:rPr>
        <w:t>执行率为93.19%</w:t>
      </w:r>
      <w:r>
        <w:rPr>
          <w:rFonts w:hint="eastAsia" w:ascii="仿宋_GB2312" w:hAnsi="宋体" w:eastAsia="仿宋_GB2312" w:cs="宋体"/>
          <w:color w:val="auto"/>
          <w:kern w:val="0"/>
          <w:sz w:val="32"/>
          <w:szCs w:val="32"/>
        </w:rPr>
        <w:t>。</w:t>
      </w:r>
    </w:p>
    <w:p>
      <w:pPr>
        <w:pStyle w:val="3"/>
        <w:pageBreakBefore w:val="0"/>
        <w:kinsoku/>
        <w:wordWrap/>
        <w:overflowPunct/>
        <w:topLinePunct w:val="0"/>
        <w:autoSpaceDE/>
        <w:autoSpaceDN/>
        <w:bidi w:val="0"/>
        <w:spacing w:before="217" w:after="217" w:line="560" w:lineRule="exact"/>
        <w:ind w:left="105" w:firstLine="640"/>
        <w:textAlignment w:val="auto"/>
        <w:rPr>
          <w:color w:val="auto"/>
        </w:rPr>
      </w:pPr>
      <w:bookmarkStart w:id="6" w:name="_Toc135677301"/>
      <w:r>
        <w:rPr>
          <w:rFonts w:hint="eastAsia"/>
          <w:color w:val="auto"/>
        </w:rPr>
        <w:t>三</w:t>
      </w:r>
      <w:r>
        <w:rPr>
          <w:color w:val="auto"/>
        </w:rPr>
        <w:t>、整体绩效目标实现情况</w:t>
      </w:r>
      <w:bookmarkEnd w:id="6"/>
    </w:p>
    <w:p>
      <w:pPr>
        <w:pStyle w:val="2"/>
        <w:pageBreakBefore w:val="0"/>
        <w:kinsoku/>
        <w:wordWrap/>
        <w:overflowPunct/>
        <w:topLinePunct w:val="0"/>
        <w:autoSpaceDE/>
        <w:autoSpaceDN/>
        <w:bidi w:val="0"/>
        <w:spacing w:line="560" w:lineRule="exact"/>
        <w:ind w:firstLine="643"/>
        <w:textAlignment w:val="auto"/>
        <w:rPr>
          <w:rFonts w:ascii="楷体" w:hAnsi="楷体"/>
          <w:color w:val="auto"/>
        </w:rPr>
      </w:pPr>
      <w:bookmarkStart w:id="7" w:name="_Toc135677302"/>
      <w:r>
        <w:rPr>
          <w:rFonts w:hint="eastAsia" w:ascii="楷体" w:hAnsi="楷体"/>
          <w:color w:val="auto"/>
        </w:rPr>
        <w:t>（一）产出完成情况分析</w:t>
      </w:r>
      <w:bookmarkEnd w:id="7"/>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1.产出数量</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rPr>
        <w:t>（1）</w:t>
      </w:r>
      <w:r>
        <w:rPr>
          <w:rFonts w:hint="eastAsia" w:ascii="仿宋_GB2312" w:hAnsi="宋体" w:eastAsia="仿宋_GB2312" w:cs="宋体"/>
          <w:color w:val="auto"/>
          <w:kern w:val="0"/>
          <w:sz w:val="32"/>
          <w:szCs w:val="32"/>
          <w:lang w:val="en-US" w:eastAsia="zh-CN"/>
        </w:rPr>
        <w:t>高标准完成31位外国领导人来华出席冬奥会开幕式接待以及在京参访服务保障工作，实现闭环下重大主场外交活动服务保障新突破。</w:t>
      </w:r>
      <w:r>
        <w:rPr>
          <w:rFonts w:hint="eastAsia" w:ascii="仿宋_GB2312" w:hAnsi="宋体" w:eastAsia="仿宋_GB2312" w:cs="宋体"/>
          <w:color w:val="auto"/>
          <w:kern w:val="0"/>
          <w:sz w:val="32"/>
          <w:szCs w:val="32"/>
        </w:rPr>
        <w:t>积极做好冬奥会外籍和港澳志愿者招募联络、驻华使馆人员邀请等工作，组织3</w:t>
      </w:r>
      <w:r>
        <w:rPr>
          <w:rFonts w:ascii="仿宋_GB2312" w:hAnsi="宋体" w:eastAsia="仿宋_GB2312" w:cs="宋体"/>
          <w:color w:val="auto"/>
          <w:kern w:val="0"/>
          <w:sz w:val="32"/>
          <w:szCs w:val="32"/>
        </w:rPr>
        <w:t>3</w:t>
      </w:r>
      <w:r>
        <w:rPr>
          <w:rFonts w:hint="eastAsia" w:ascii="仿宋_GB2312" w:hAnsi="宋体" w:eastAsia="仿宋_GB2312" w:cs="宋体"/>
          <w:color w:val="auto"/>
          <w:kern w:val="0"/>
          <w:sz w:val="32"/>
          <w:szCs w:val="32"/>
        </w:rPr>
        <w:t>个国家</w:t>
      </w:r>
      <w:r>
        <w:rPr>
          <w:rFonts w:ascii="仿宋_GB2312" w:hAnsi="宋体" w:eastAsia="仿宋_GB2312" w:cs="宋体"/>
          <w:color w:val="auto"/>
          <w:kern w:val="0"/>
          <w:sz w:val="32"/>
          <w:szCs w:val="32"/>
        </w:rPr>
        <w:t>150</w:t>
      </w:r>
      <w:r>
        <w:rPr>
          <w:rFonts w:hint="eastAsia" w:ascii="仿宋_GB2312" w:hAnsi="宋体" w:eastAsia="仿宋_GB2312" w:cs="宋体"/>
          <w:color w:val="auto"/>
          <w:kern w:val="0"/>
          <w:sz w:val="32"/>
          <w:szCs w:val="32"/>
        </w:rPr>
        <w:t>名在京外籍人士观赛。</w:t>
      </w:r>
      <w:r>
        <w:rPr>
          <w:rFonts w:hint="eastAsia" w:ascii="仿宋_GB2312" w:hAnsi="宋体" w:eastAsia="仿宋_GB2312" w:cs="宋体"/>
          <w:color w:val="auto"/>
          <w:kern w:val="0"/>
          <w:sz w:val="32"/>
          <w:szCs w:val="32"/>
          <w:lang w:val="en-US" w:eastAsia="zh-CN"/>
        </w:rPr>
        <w:t>外国国家元首和政府首脑对我国进行国事或正式访问期间，在机场路沿线给予悬挂中国和外国国旗的礼遇，全年共完成制挂旗9次。</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lang w:val="en-US" w:eastAsia="zh-CN"/>
        </w:rPr>
        <w:t>2</w:t>
      </w:r>
      <w:r>
        <w:rPr>
          <w:rFonts w:hint="eastAsia" w:ascii="仿宋_GB2312" w:hAnsi="宋体" w:eastAsia="仿宋_GB2312" w:cs="宋体"/>
          <w:color w:val="auto"/>
          <w:kern w:val="0"/>
          <w:sz w:val="32"/>
          <w:szCs w:val="32"/>
        </w:rPr>
        <w:t>）加强</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一带一路</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沿线国家风险评估和监测预警，编发《境外安全周报》</w:t>
      </w:r>
      <w:r>
        <w:rPr>
          <w:rFonts w:ascii="仿宋_GB2312" w:hAnsi="宋体" w:eastAsia="仿宋_GB2312" w:cs="宋体"/>
          <w:color w:val="auto"/>
          <w:kern w:val="0"/>
          <w:sz w:val="32"/>
          <w:szCs w:val="32"/>
        </w:rPr>
        <w:t>52</w:t>
      </w:r>
      <w:r>
        <w:rPr>
          <w:rFonts w:hint="eastAsia" w:ascii="仿宋_GB2312" w:hAnsi="宋体" w:eastAsia="仿宋_GB2312" w:cs="宋体"/>
          <w:color w:val="auto"/>
          <w:kern w:val="0"/>
          <w:sz w:val="32"/>
          <w:szCs w:val="32"/>
        </w:rPr>
        <w:t>期，推送境外快讯</w:t>
      </w:r>
      <w:r>
        <w:rPr>
          <w:rFonts w:ascii="仿宋_GB2312" w:hAnsi="宋体" w:eastAsia="仿宋_GB2312" w:cs="宋体"/>
          <w:color w:val="auto"/>
          <w:kern w:val="0"/>
          <w:sz w:val="32"/>
          <w:szCs w:val="32"/>
        </w:rPr>
        <w:t>9345</w:t>
      </w:r>
      <w:r>
        <w:rPr>
          <w:rFonts w:hint="eastAsia" w:ascii="仿宋_GB2312" w:hAnsi="宋体" w:eastAsia="仿宋_GB2312" w:cs="宋体"/>
          <w:color w:val="auto"/>
          <w:kern w:val="0"/>
          <w:sz w:val="32"/>
          <w:szCs w:val="32"/>
        </w:rPr>
        <w:t>条、重大涉外突发事件</w:t>
      </w:r>
      <w:r>
        <w:rPr>
          <w:rFonts w:ascii="仿宋_GB2312" w:hAnsi="宋体" w:eastAsia="仿宋_GB2312" w:cs="宋体"/>
          <w:color w:val="auto"/>
          <w:kern w:val="0"/>
          <w:sz w:val="32"/>
          <w:szCs w:val="32"/>
        </w:rPr>
        <w:t>1075</w:t>
      </w:r>
      <w:r>
        <w:rPr>
          <w:rFonts w:hint="eastAsia" w:ascii="仿宋_GB2312" w:hAnsi="宋体" w:eastAsia="仿宋_GB2312" w:cs="宋体"/>
          <w:color w:val="auto"/>
          <w:kern w:val="0"/>
          <w:sz w:val="32"/>
          <w:szCs w:val="32"/>
        </w:rPr>
        <w:t>条及安全提醒</w:t>
      </w:r>
      <w:r>
        <w:rPr>
          <w:rFonts w:ascii="仿宋_GB2312" w:hAnsi="宋体" w:eastAsia="仿宋_GB2312" w:cs="宋体"/>
          <w:color w:val="auto"/>
          <w:kern w:val="0"/>
          <w:sz w:val="32"/>
          <w:szCs w:val="32"/>
        </w:rPr>
        <w:t>719</w:t>
      </w:r>
      <w:r>
        <w:rPr>
          <w:rFonts w:hint="eastAsia" w:ascii="仿宋_GB2312" w:hAnsi="宋体" w:eastAsia="仿宋_GB2312" w:cs="宋体"/>
          <w:color w:val="auto"/>
          <w:kern w:val="0"/>
          <w:sz w:val="32"/>
          <w:szCs w:val="32"/>
        </w:rPr>
        <w:t>条，完成本市境外安全暨</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一带一路</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建设安保培训。</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sz w:val="32"/>
          <w:szCs w:val="32"/>
        </w:rPr>
      </w:pPr>
      <w:r>
        <w:rPr>
          <w:rFonts w:hint="eastAsia"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lang w:val="en-US" w:eastAsia="zh-CN"/>
        </w:rPr>
        <w:t>3</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成功举办第二届</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北京</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国际范儿</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短视频大赛、</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亲历见证</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我与国际交往中心的故事</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征文活动、</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光影见证</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国际交往中心”纪实摄影作品征集等重点宣传活动，多元多维展示北京推进国际交往中心功能建设成就，真实立体塑造和推广北京城市国际形象。</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lang w:val="en-US" w:eastAsia="zh-CN"/>
        </w:rPr>
        <w:t>4</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持续优化国际化环境</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线上线下开展《条例》宣传宣讲，制作《条例》宣传片，在全市商务楼宇</w:t>
      </w:r>
      <w:r>
        <w:rPr>
          <w:rFonts w:ascii="仿宋_GB2312" w:hAnsi="宋体" w:eastAsia="仿宋_GB2312" w:cs="宋体"/>
          <w:color w:val="auto"/>
          <w:kern w:val="0"/>
          <w:sz w:val="32"/>
          <w:szCs w:val="32"/>
        </w:rPr>
        <w:t>6000</w:t>
      </w:r>
      <w:r>
        <w:rPr>
          <w:rFonts w:hint="eastAsia" w:ascii="仿宋_GB2312" w:hAnsi="宋体" w:eastAsia="仿宋_GB2312" w:cs="宋体"/>
          <w:color w:val="auto"/>
          <w:kern w:val="0"/>
          <w:sz w:val="32"/>
          <w:szCs w:val="32"/>
        </w:rPr>
        <w:t>多块显示屏播放。制作</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识北京</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双语系列讲座和短视频，解读《条例》重点内容，展示重点行业工作成果，通过各类融媒体渠道播出，吸引</w:t>
      </w:r>
      <w:r>
        <w:rPr>
          <w:rFonts w:ascii="仿宋_GB2312" w:hAnsi="宋体" w:eastAsia="仿宋_GB2312" w:cs="宋体"/>
          <w:color w:val="auto"/>
          <w:kern w:val="0"/>
          <w:sz w:val="32"/>
          <w:szCs w:val="32"/>
        </w:rPr>
        <w:t>500</w:t>
      </w:r>
      <w:r>
        <w:rPr>
          <w:rFonts w:hint="eastAsia" w:ascii="仿宋_GB2312" w:hAnsi="宋体" w:eastAsia="仿宋_GB2312" w:cs="宋体"/>
          <w:color w:val="auto"/>
          <w:kern w:val="0"/>
          <w:sz w:val="32"/>
          <w:szCs w:val="32"/>
        </w:rPr>
        <w:t>多万人次收听收看。</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lang w:val="en-US" w:eastAsia="zh-CN"/>
        </w:rPr>
        <w:t>5</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充分发挥高层交往引领作用。统筹安排市领导在京外事和港澳活动</w:t>
      </w:r>
      <w:r>
        <w:rPr>
          <w:rFonts w:ascii="仿宋_GB2312" w:hAnsi="宋体" w:eastAsia="仿宋_GB2312" w:cs="宋体"/>
          <w:color w:val="auto"/>
          <w:kern w:val="0"/>
          <w:sz w:val="32"/>
          <w:szCs w:val="32"/>
        </w:rPr>
        <w:t>106</w:t>
      </w:r>
      <w:r>
        <w:rPr>
          <w:rFonts w:hint="eastAsia" w:ascii="仿宋_GB2312" w:hAnsi="宋体" w:eastAsia="仿宋_GB2312" w:cs="宋体"/>
          <w:color w:val="auto"/>
          <w:kern w:val="0"/>
          <w:sz w:val="32"/>
          <w:szCs w:val="32"/>
        </w:rPr>
        <w:t>场，市领导以线上线下相结合方式会见重点跨国企业负责人。</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sz w:val="32"/>
          <w:szCs w:val="32"/>
        </w:rPr>
      </w:pPr>
      <w:r>
        <w:rPr>
          <w:rFonts w:hint="eastAsia"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lang w:val="en-US" w:eastAsia="zh-CN"/>
        </w:rPr>
        <w:t>6</w:t>
      </w:r>
      <w:r>
        <w:rPr>
          <w:rFonts w:hint="eastAsia" w:ascii="仿宋_GB2312" w:hAnsi="宋体" w:eastAsia="仿宋_GB2312" w:cs="宋体"/>
          <w:color w:val="auto"/>
          <w:kern w:val="0"/>
          <w:sz w:val="32"/>
          <w:szCs w:val="32"/>
        </w:rPr>
        <w:t>）积极做好决策信息服务</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围绕双枢纽机场协同发展、城市更新、科技园区、创新创业生态、会展经济、疫情动态等专题组织开展研究，高标准打造《外事信息》等信息产品</w:t>
      </w:r>
      <w:r>
        <w:rPr>
          <w:rFonts w:ascii="仿宋_GB2312" w:hAnsi="宋体" w:eastAsia="仿宋_GB2312" w:cs="宋体"/>
          <w:color w:val="auto"/>
          <w:kern w:val="0"/>
          <w:sz w:val="32"/>
          <w:szCs w:val="32"/>
        </w:rPr>
        <w:t>59</w:t>
      </w:r>
      <w:r>
        <w:rPr>
          <w:rFonts w:hint="eastAsia" w:ascii="仿宋_GB2312" w:hAnsi="宋体" w:eastAsia="仿宋_GB2312" w:cs="宋体"/>
          <w:color w:val="auto"/>
          <w:kern w:val="0"/>
          <w:sz w:val="32"/>
          <w:szCs w:val="32"/>
        </w:rPr>
        <w:t>期，为全市重点工作提供国际前沿信息、开展调查研究。</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sz w:val="32"/>
          <w:szCs w:val="32"/>
        </w:rPr>
      </w:pPr>
      <w:r>
        <w:rPr>
          <w:rFonts w:hint="eastAsia"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lang w:val="en-US" w:eastAsia="zh-CN"/>
        </w:rPr>
        <w:t>7</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举办</w:t>
      </w:r>
      <w:r>
        <w:rPr>
          <w:rFonts w:ascii="仿宋_GB2312" w:hAnsi="宋体" w:eastAsia="仿宋_GB2312" w:cs="宋体"/>
          <w:color w:val="auto"/>
          <w:kern w:val="0"/>
          <w:sz w:val="32"/>
          <w:szCs w:val="32"/>
        </w:rPr>
        <w:t>2022</w:t>
      </w:r>
      <w:r>
        <w:rPr>
          <w:rFonts w:hint="eastAsia" w:ascii="仿宋_GB2312" w:hAnsi="宋体" w:eastAsia="仿宋_GB2312" w:cs="宋体"/>
          <w:color w:val="auto"/>
          <w:kern w:val="0"/>
          <w:sz w:val="32"/>
          <w:szCs w:val="32"/>
        </w:rPr>
        <w:t>年</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祖国在你身后</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领事保护情景剧大赛、领保大讲堂等宣传教育活动</w:t>
      </w:r>
      <w:r>
        <w:rPr>
          <w:rFonts w:ascii="仿宋_GB2312" w:hAnsi="宋体" w:eastAsia="仿宋_GB2312" w:cs="宋体"/>
          <w:color w:val="auto"/>
          <w:kern w:val="0"/>
          <w:sz w:val="32"/>
          <w:szCs w:val="32"/>
        </w:rPr>
        <w:t>31</w:t>
      </w:r>
      <w:r>
        <w:rPr>
          <w:rFonts w:hint="eastAsia" w:ascii="仿宋_GB2312" w:hAnsi="宋体" w:eastAsia="仿宋_GB2312" w:cs="宋体"/>
          <w:color w:val="auto"/>
          <w:kern w:val="0"/>
          <w:sz w:val="32"/>
          <w:szCs w:val="32"/>
        </w:rPr>
        <w:t>场，领保宣传覆盖人群超</w:t>
      </w:r>
      <w:r>
        <w:rPr>
          <w:rFonts w:ascii="仿宋_GB2312" w:hAnsi="宋体" w:eastAsia="仿宋_GB2312" w:cs="宋体"/>
          <w:color w:val="auto"/>
          <w:kern w:val="0"/>
          <w:sz w:val="32"/>
          <w:szCs w:val="32"/>
        </w:rPr>
        <w:t>1000</w:t>
      </w:r>
      <w:r>
        <w:rPr>
          <w:rFonts w:hint="eastAsia" w:ascii="仿宋_GB2312" w:hAnsi="宋体" w:eastAsia="仿宋_GB2312" w:cs="宋体"/>
          <w:color w:val="auto"/>
          <w:kern w:val="0"/>
          <w:sz w:val="32"/>
          <w:szCs w:val="32"/>
        </w:rPr>
        <w:t>万人次。</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lang w:val="en-US" w:eastAsia="zh-CN"/>
        </w:rPr>
        <w:t>8</w:t>
      </w:r>
      <w:r>
        <w:rPr>
          <w:rFonts w:hint="eastAsia" w:ascii="仿宋_GB2312" w:hAnsi="宋体" w:eastAsia="仿宋_GB2312" w:cs="宋体"/>
          <w:color w:val="auto"/>
          <w:kern w:val="0"/>
          <w:sz w:val="32"/>
          <w:szCs w:val="32"/>
        </w:rPr>
        <w:t>）组织开展“学习习近平外交思想”全市外事领域人才培训班，持续丰富全市干部国际化素养培训课程体系，指导完成11个全市外事培训项目，受训人员600余人次。</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（9）北京市外事信息资源综合管理大数据平台基本框架已搭建完毕，建立</w:t>
      </w:r>
      <w:bookmarkStart w:id="25" w:name="_GoBack"/>
      <w:bookmarkEnd w:id="25"/>
      <w:r>
        <w:rPr>
          <w:rFonts w:hint="eastAsia" w:ascii="仿宋_GB2312" w:hAnsi="宋体" w:eastAsia="仿宋_GB2312" w:cs="宋体"/>
          <w:color w:val="auto"/>
          <w:kern w:val="0"/>
          <w:sz w:val="32"/>
          <w:szCs w:val="32"/>
          <w:lang w:val="en-US" w:eastAsia="zh-CN"/>
        </w:rPr>
        <w:t>国际交往中心功能建设、外资企业、友好城市、涉外管理4大功能板块。</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lang w:val="en-US" w:eastAsia="zh-CN"/>
        </w:rPr>
      </w:pPr>
      <w:r>
        <w:rPr>
          <w:rFonts w:hint="eastAsia" w:ascii="仿宋_GB2312" w:hAnsi="宋体" w:eastAsia="仿宋_GB2312" w:cs="宋体"/>
          <w:color w:val="auto"/>
          <w:kern w:val="0"/>
          <w:sz w:val="32"/>
          <w:szCs w:val="32"/>
          <w:lang w:val="en-US" w:eastAsia="zh-CN"/>
        </w:rPr>
        <w:t>（10）严密组织开展国际交往中心功能建设专项考评工作，考评范围覆盖各区和18个市级行政机关,安排重点考核事项62项，进一步增强考评精准性和针对性。</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color w:val="auto"/>
          <w:lang w:val="en-US" w:eastAsia="zh-CN"/>
        </w:rPr>
      </w:pPr>
      <w:r>
        <w:rPr>
          <w:rFonts w:hint="eastAsia" w:ascii="仿宋_GB2312" w:hAnsi="宋体" w:eastAsia="仿宋_GB2312" w:cs="宋体"/>
          <w:color w:val="auto"/>
          <w:kern w:val="0"/>
          <w:sz w:val="32"/>
          <w:szCs w:val="32"/>
          <w:lang w:val="en-US" w:eastAsia="zh-CN"/>
        </w:rPr>
        <w:t>（11）稳妥做好驻华使团常态化疫情防控，落实110家使团外交人员入境抵京闭环转运、医学观察等防疫措施，开展驻华使团人员常态核酸检测93万余人次。持续做好在京外籍人士和港澳同胞新冠病毒疫苗接种工作，及时启动第二剂次加强免疫接种工作。</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2.产出</w:t>
      </w:r>
      <w:r>
        <w:rPr>
          <w:rFonts w:ascii="仿宋_GB2312" w:hAnsi="宋体" w:eastAsia="仿宋_GB2312" w:cs="宋体"/>
          <w:color w:val="auto"/>
          <w:kern w:val="0"/>
          <w:sz w:val="32"/>
          <w:szCs w:val="32"/>
        </w:rPr>
        <w:t>质量</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w:t>
      </w:r>
      <w:r>
        <w:rPr>
          <w:rFonts w:ascii="仿宋_GB2312" w:hAnsi="宋体" w:eastAsia="仿宋_GB2312" w:cs="宋体"/>
          <w:color w:val="auto"/>
          <w:kern w:val="0"/>
          <w:sz w:val="32"/>
          <w:szCs w:val="32"/>
        </w:rPr>
        <w:t>022</w:t>
      </w:r>
      <w:r>
        <w:rPr>
          <w:rFonts w:hint="eastAsia" w:ascii="仿宋_GB2312" w:hAnsi="宋体" w:eastAsia="仿宋_GB2312" w:cs="宋体"/>
          <w:color w:val="auto"/>
          <w:kern w:val="0"/>
          <w:sz w:val="32"/>
          <w:szCs w:val="32"/>
        </w:rPr>
        <w:t>年，市政府外办积极开展各项重点工作，履行部门职责，通过预算执行和年度目标的完成，保质保量完成了各项工作。比如，全力服务保障北京</w:t>
      </w:r>
      <w:r>
        <w:rPr>
          <w:rFonts w:ascii="仿宋_GB2312" w:hAnsi="宋体" w:eastAsia="仿宋_GB2312" w:cs="宋体"/>
          <w:color w:val="auto"/>
          <w:kern w:val="0"/>
          <w:sz w:val="32"/>
          <w:szCs w:val="32"/>
        </w:rPr>
        <w:t>2022</w:t>
      </w:r>
      <w:r>
        <w:rPr>
          <w:rFonts w:hint="eastAsia" w:ascii="仿宋_GB2312" w:hAnsi="宋体" w:eastAsia="仿宋_GB2312" w:cs="宋体"/>
          <w:color w:val="auto"/>
          <w:kern w:val="0"/>
          <w:sz w:val="32"/>
          <w:szCs w:val="32"/>
        </w:rPr>
        <w:t>年冬奥会和冬残奥会，党中央、国务院授予市外办</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北京冬奥会、冬残奥会突出贡献集体</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称号。</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3.产出</w:t>
      </w:r>
      <w:r>
        <w:rPr>
          <w:rFonts w:ascii="仿宋_GB2312" w:hAnsi="宋体" w:eastAsia="仿宋_GB2312" w:cs="宋体"/>
          <w:color w:val="auto"/>
          <w:kern w:val="0"/>
          <w:sz w:val="32"/>
          <w:szCs w:val="32"/>
        </w:rPr>
        <w:t>进度</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市政府外办按照年度工作计划，压实主体责任，大力推进项目实施，及时研判新冠肺炎疫情带来的不利影响，扎实稳妥推进各项工作落实，基本完成年初制定的各项指标。</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4.</w:t>
      </w:r>
      <w:r>
        <w:rPr>
          <w:rFonts w:hint="eastAsia" w:ascii="仿宋_GB2312" w:hAnsi="宋体" w:eastAsia="仿宋_GB2312" w:cs="宋体"/>
          <w:color w:val="auto"/>
          <w:kern w:val="0"/>
          <w:sz w:val="32"/>
          <w:szCs w:val="32"/>
        </w:rPr>
        <w:t>产出</w:t>
      </w:r>
      <w:r>
        <w:rPr>
          <w:rFonts w:ascii="仿宋_GB2312" w:hAnsi="宋体" w:eastAsia="仿宋_GB2312" w:cs="宋体"/>
          <w:color w:val="auto"/>
          <w:kern w:val="0"/>
          <w:sz w:val="32"/>
          <w:szCs w:val="32"/>
        </w:rPr>
        <w:t>成本</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市政府外办2022年</w:t>
      </w:r>
      <w:r>
        <w:rPr>
          <w:rFonts w:hint="eastAsia" w:ascii="仿宋_GB2312" w:hAnsi="宋体" w:eastAsia="仿宋_GB2312" w:cs="宋体"/>
          <w:color w:val="auto"/>
          <w:kern w:val="0"/>
          <w:sz w:val="32"/>
          <w:szCs w:val="32"/>
          <w:lang w:eastAsia="zh-CN"/>
        </w:rPr>
        <w:t>严格落实</w:t>
      </w:r>
      <w:r>
        <w:rPr>
          <w:rFonts w:hint="eastAsia" w:ascii="仿宋_GB2312" w:hAnsi="宋体" w:eastAsia="仿宋_GB2312" w:cs="宋体"/>
          <w:color w:val="auto"/>
          <w:kern w:val="0"/>
          <w:sz w:val="32"/>
          <w:szCs w:val="32"/>
        </w:rPr>
        <w:t>过“紧”日子</w:t>
      </w:r>
      <w:r>
        <w:rPr>
          <w:rFonts w:hint="eastAsia" w:ascii="仿宋_GB2312" w:hAnsi="宋体" w:eastAsia="仿宋_GB2312" w:cs="宋体"/>
          <w:color w:val="auto"/>
          <w:kern w:val="0"/>
          <w:sz w:val="32"/>
          <w:szCs w:val="32"/>
          <w:lang w:eastAsia="zh-CN"/>
        </w:rPr>
        <w:t>要求，进一步</w:t>
      </w:r>
      <w:r>
        <w:rPr>
          <w:rFonts w:hint="eastAsia" w:ascii="仿宋_GB2312" w:hAnsi="宋体" w:eastAsia="仿宋_GB2312" w:cs="宋体"/>
          <w:color w:val="auto"/>
          <w:kern w:val="0"/>
          <w:sz w:val="32"/>
          <w:szCs w:val="32"/>
        </w:rPr>
        <w:t>压缩</w:t>
      </w:r>
      <w:r>
        <w:rPr>
          <w:rFonts w:hint="eastAsia" w:ascii="仿宋_GB2312" w:hAnsi="宋体" w:eastAsia="仿宋_GB2312" w:cs="宋体"/>
          <w:color w:val="auto"/>
          <w:kern w:val="0"/>
          <w:sz w:val="32"/>
          <w:szCs w:val="32"/>
          <w:lang w:eastAsia="zh-CN"/>
        </w:rPr>
        <w:t>行政运行成本。</w:t>
      </w:r>
      <w:r>
        <w:rPr>
          <w:rFonts w:hint="eastAsia" w:ascii="仿宋_GB2312" w:hAnsi="宋体" w:eastAsia="仿宋_GB2312" w:cs="宋体"/>
          <w:color w:val="auto"/>
          <w:kern w:val="0"/>
          <w:sz w:val="32"/>
          <w:szCs w:val="32"/>
        </w:rPr>
        <w:t>委托第三方专业评审机构开展预算评审，提高预算申报的科学性、准确性。</w:t>
      </w:r>
      <w:r>
        <w:rPr>
          <w:rFonts w:hint="eastAsia" w:ascii="仿宋_GB2312" w:hAnsi="宋体" w:eastAsia="仿宋_GB2312" w:cs="宋体"/>
          <w:color w:val="auto"/>
          <w:kern w:val="0"/>
          <w:sz w:val="32"/>
          <w:szCs w:val="32"/>
          <w:lang w:eastAsia="zh-CN"/>
        </w:rPr>
        <w:t>将</w:t>
      </w:r>
      <w:r>
        <w:rPr>
          <w:rFonts w:hint="eastAsia" w:ascii="仿宋_GB2312" w:hAnsi="宋体" w:eastAsia="仿宋_GB2312" w:cs="宋体"/>
          <w:color w:val="auto"/>
          <w:kern w:val="0"/>
          <w:sz w:val="32"/>
          <w:szCs w:val="32"/>
        </w:rPr>
        <w:t>成本管控</w:t>
      </w:r>
      <w:r>
        <w:rPr>
          <w:rFonts w:hint="eastAsia" w:ascii="仿宋_GB2312" w:hAnsi="宋体" w:eastAsia="仿宋_GB2312" w:cs="宋体"/>
          <w:color w:val="auto"/>
          <w:kern w:val="0"/>
          <w:sz w:val="32"/>
          <w:szCs w:val="32"/>
          <w:lang w:eastAsia="zh-CN"/>
        </w:rPr>
        <w:t>贯穿于预算执行全过程，</w:t>
      </w:r>
      <w:r>
        <w:rPr>
          <w:rFonts w:hint="eastAsia" w:ascii="仿宋_GB2312" w:hAnsi="宋体" w:eastAsia="仿宋_GB2312" w:cs="宋体"/>
          <w:color w:val="auto"/>
          <w:kern w:val="0"/>
          <w:sz w:val="32"/>
          <w:szCs w:val="32"/>
        </w:rPr>
        <w:t>严格执行政府采购要求，</w:t>
      </w:r>
      <w:r>
        <w:rPr>
          <w:rFonts w:hint="eastAsia" w:ascii="仿宋_GB2312" w:hAnsi="宋体" w:eastAsia="仿宋_GB2312" w:cs="宋体"/>
          <w:color w:val="auto"/>
          <w:kern w:val="0"/>
          <w:sz w:val="32"/>
          <w:szCs w:val="32"/>
          <w:lang w:eastAsia="zh-CN"/>
        </w:rPr>
        <w:t>履行政府采购程序，</w:t>
      </w:r>
      <w:r>
        <w:rPr>
          <w:rFonts w:hint="eastAsia" w:ascii="仿宋_GB2312" w:hAnsi="宋体" w:eastAsia="仿宋_GB2312" w:cs="宋体"/>
          <w:color w:val="auto"/>
          <w:kern w:val="0"/>
          <w:sz w:val="32"/>
          <w:szCs w:val="32"/>
        </w:rPr>
        <w:t>严格执行相关财务管理制度</w:t>
      </w:r>
      <w:r>
        <w:rPr>
          <w:rFonts w:hint="eastAsia" w:ascii="仿宋_GB2312" w:hAnsi="宋体" w:eastAsia="仿宋_GB2312" w:cs="宋体"/>
          <w:color w:val="auto"/>
          <w:kern w:val="0"/>
          <w:sz w:val="32"/>
          <w:szCs w:val="32"/>
          <w:lang w:eastAsia="zh-CN"/>
        </w:rPr>
        <w:t>。</w:t>
      </w:r>
      <w:r>
        <w:rPr>
          <w:rFonts w:hint="eastAsia" w:ascii="仿宋_GB2312" w:hAnsi="宋体" w:eastAsia="仿宋_GB2312" w:cs="宋体"/>
          <w:color w:val="auto"/>
          <w:kern w:val="0"/>
          <w:sz w:val="32"/>
          <w:szCs w:val="32"/>
        </w:rPr>
        <w:t>评价分析认为，2022年市政府外办在完成各项任务的同时，产出成本控制较好。</w:t>
      </w:r>
    </w:p>
    <w:p>
      <w:pPr>
        <w:pStyle w:val="2"/>
        <w:pageBreakBefore w:val="0"/>
        <w:kinsoku/>
        <w:wordWrap/>
        <w:overflowPunct/>
        <w:topLinePunct w:val="0"/>
        <w:autoSpaceDE/>
        <w:autoSpaceDN/>
        <w:bidi w:val="0"/>
        <w:spacing w:line="560" w:lineRule="exact"/>
        <w:ind w:firstLine="643"/>
        <w:textAlignment w:val="auto"/>
        <w:rPr>
          <w:rFonts w:ascii="楷体" w:hAnsi="楷体"/>
          <w:color w:val="auto"/>
        </w:rPr>
      </w:pPr>
      <w:bookmarkStart w:id="8" w:name="_Toc135677303"/>
      <w:r>
        <w:rPr>
          <w:rFonts w:hint="eastAsia" w:ascii="楷体" w:hAnsi="楷体"/>
          <w:color w:val="auto"/>
        </w:rPr>
        <w:t>（二）效果实现情况分析</w:t>
      </w:r>
      <w:bookmarkEnd w:id="8"/>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1.社会效益</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1）</w:t>
      </w:r>
      <w:r>
        <w:rPr>
          <w:rFonts w:hint="eastAsia" w:ascii="仿宋_GB2312" w:hAnsi="宋体" w:eastAsia="仿宋_GB2312" w:cs="宋体"/>
          <w:color w:val="auto"/>
          <w:kern w:val="0"/>
          <w:sz w:val="32"/>
          <w:szCs w:val="32"/>
        </w:rPr>
        <w:t>推进共建</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一带一路</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高质量发展。深入学习贯彻习近平总书记在第三次</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一带一路</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建设座谈会上重要讲话精神，将共建</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一带一路</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作为友好城市务实交流合作的重要内容，推动本市社会组织和企业参与</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丝路一家亲</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行动，有利推进共建“一带一路”高质量发展。</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sz w:val="32"/>
          <w:szCs w:val="32"/>
        </w:rPr>
      </w:pP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2）制定北京市服务保障疫情防控常态</w:t>
      </w:r>
      <w:r>
        <w:rPr>
          <w:rFonts w:hint="eastAsia" w:ascii="仿宋_GB2312" w:hAnsi="宋体" w:eastAsia="仿宋_GB2312" w:cs="宋体"/>
          <w:color w:val="auto"/>
          <w:kern w:val="0"/>
          <w:sz w:val="32"/>
          <w:szCs w:val="32"/>
        </w:rPr>
        <w:t>化形势下重要外宾来访防疫工作方案，积极配合做好土库曼斯坦等重要外宾团组服务保障。及时在市政府外办官网官微发布疫情防控政策信息，回应外籍人士关切问题，解决合理诉求，提高外籍人员满意度，扩大社会影响力。</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3）</w:t>
      </w:r>
      <w:r>
        <w:rPr>
          <w:rFonts w:hint="eastAsia" w:ascii="仿宋_GB2312" w:hAnsi="宋体" w:eastAsia="仿宋_GB2312" w:cs="宋体"/>
          <w:color w:val="auto"/>
          <w:kern w:val="0"/>
          <w:sz w:val="32"/>
          <w:szCs w:val="32"/>
        </w:rPr>
        <w:t>持续健全完善党管外事体制机制。</w:t>
      </w:r>
      <w:r>
        <w:rPr>
          <w:rFonts w:ascii="仿宋_GB2312" w:hAnsi="宋体" w:eastAsia="仿宋_GB2312" w:cs="宋体"/>
          <w:color w:val="auto"/>
          <w:kern w:val="0"/>
          <w:sz w:val="32"/>
          <w:szCs w:val="32"/>
        </w:rPr>
        <w:t>16</w:t>
      </w:r>
      <w:r>
        <w:rPr>
          <w:rFonts w:hint="eastAsia" w:ascii="仿宋_GB2312" w:hAnsi="宋体" w:eastAsia="仿宋_GB2312" w:cs="宋体"/>
          <w:color w:val="auto"/>
          <w:kern w:val="0"/>
          <w:sz w:val="32"/>
          <w:szCs w:val="32"/>
        </w:rPr>
        <w:t>区委均组建外事工作委员会、</w:t>
      </w:r>
      <w:r>
        <w:rPr>
          <w:rFonts w:ascii="仿宋_GB2312" w:hAnsi="宋体" w:eastAsia="仿宋_GB2312" w:cs="宋体"/>
          <w:color w:val="auto"/>
          <w:kern w:val="0"/>
          <w:sz w:val="32"/>
          <w:szCs w:val="32"/>
        </w:rPr>
        <w:t>12</w:t>
      </w:r>
      <w:r>
        <w:rPr>
          <w:rFonts w:hint="eastAsia" w:ascii="仿宋_GB2312" w:hAnsi="宋体" w:eastAsia="仿宋_GB2312" w:cs="宋体"/>
          <w:color w:val="auto"/>
          <w:kern w:val="0"/>
          <w:sz w:val="32"/>
          <w:szCs w:val="32"/>
        </w:rPr>
        <w:t>区建立推进国际交往中心功能建设领导机构。加强对区级外事工作的业务指导和全市重点任务的督查督办，全市外事工作</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一盘棋</w:t>
      </w:r>
      <w:r>
        <w:rPr>
          <w:rFonts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rPr>
        <w:t>工作格局更加巩固。</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2.可持续性影响</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1）</w:t>
      </w:r>
      <w:r>
        <w:rPr>
          <w:rFonts w:hint="eastAsia" w:ascii="仿宋_GB2312" w:hAnsi="宋体" w:eastAsia="仿宋_GB2312" w:cs="宋体"/>
          <w:color w:val="auto"/>
          <w:kern w:val="0"/>
          <w:sz w:val="32"/>
          <w:szCs w:val="32"/>
        </w:rPr>
        <w:t>出台实施元首外交北京市服务保障能力提升实施方案，推动全链条发力、全方位提升、全周期保障，</w:t>
      </w:r>
      <w:r>
        <w:rPr>
          <w:rFonts w:ascii="仿宋_GB2312" w:hAnsi="宋体" w:eastAsia="仿宋_GB2312" w:cs="宋体"/>
          <w:color w:val="auto"/>
          <w:kern w:val="0"/>
          <w:sz w:val="32"/>
          <w:szCs w:val="32"/>
        </w:rPr>
        <w:t>持续健全国际交往服务机制</w:t>
      </w:r>
      <w:r>
        <w:rPr>
          <w:rFonts w:hint="eastAsia" w:ascii="仿宋_GB2312" w:hAnsi="宋体" w:eastAsia="仿宋_GB2312" w:cs="宋体"/>
          <w:color w:val="auto"/>
          <w:kern w:val="0"/>
          <w:sz w:val="32"/>
          <w:szCs w:val="32"/>
        </w:rPr>
        <w:t>。</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（2）持续优化国际化环境。全面落实营商环境创新试点和</w:t>
      </w:r>
      <w:r>
        <w:rPr>
          <w:rFonts w:ascii="仿宋_GB2312" w:hAnsi="宋体" w:eastAsia="仿宋_GB2312" w:cs="宋体"/>
          <w:color w:val="auto"/>
          <w:kern w:val="0"/>
          <w:sz w:val="32"/>
          <w:szCs w:val="32"/>
        </w:rPr>
        <w:t>5.0</w:t>
      </w:r>
      <w:r>
        <w:rPr>
          <w:rFonts w:hint="eastAsia" w:ascii="仿宋_GB2312" w:hAnsi="宋体" w:eastAsia="仿宋_GB2312" w:cs="宋体"/>
          <w:color w:val="auto"/>
          <w:kern w:val="0"/>
          <w:sz w:val="32"/>
          <w:szCs w:val="32"/>
        </w:rPr>
        <w:t>版改革任务，争取中央单位支持，为境外商事主体参与仲裁活动提供签证便利。</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（3）全面实施《北京市国际交往语言环境建设条例》，印发专项工作方案和执法配套文件。</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sz w:val="32"/>
          <w:szCs w:val="32"/>
        </w:rPr>
      </w:pP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4）</w:t>
      </w:r>
      <w:r>
        <w:rPr>
          <w:rFonts w:hint="eastAsia" w:ascii="仿宋_GB2312" w:hAnsi="宋体" w:eastAsia="仿宋_GB2312" w:cs="宋体"/>
          <w:color w:val="auto"/>
          <w:kern w:val="0"/>
          <w:sz w:val="32"/>
          <w:szCs w:val="32"/>
        </w:rPr>
        <w:t>国外机场打造空港型国际消费枢纽、伦敦纽约金融中心建设等调研成果转化为政策举措。利用智库平台持续培育专家资源，推动更多专家关注和参与国际交往中心功能建设。优化智库运行管理，高质量完成智库课题研究。</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3.服务对象满意度</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通过抽查的项目服务满意度调查了解显示，服务满意度较好。</w:t>
      </w:r>
    </w:p>
    <w:p>
      <w:pPr>
        <w:pStyle w:val="3"/>
        <w:pageBreakBefore w:val="0"/>
        <w:kinsoku/>
        <w:wordWrap/>
        <w:overflowPunct/>
        <w:topLinePunct w:val="0"/>
        <w:autoSpaceDE/>
        <w:autoSpaceDN/>
        <w:bidi w:val="0"/>
        <w:spacing w:before="217" w:after="217" w:line="560" w:lineRule="exact"/>
        <w:ind w:left="105" w:firstLine="640"/>
        <w:textAlignment w:val="auto"/>
        <w:rPr>
          <w:color w:val="auto"/>
        </w:rPr>
      </w:pPr>
      <w:bookmarkStart w:id="9" w:name="_Toc135092818"/>
      <w:bookmarkStart w:id="10" w:name="_Toc135677304"/>
      <w:r>
        <w:rPr>
          <w:rFonts w:hint="eastAsia"/>
          <w:color w:val="auto"/>
        </w:rPr>
        <w:t>四、预算管理情况分析</w:t>
      </w:r>
      <w:bookmarkEnd w:id="9"/>
      <w:bookmarkEnd w:id="10"/>
    </w:p>
    <w:p>
      <w:pPr>
        <w:pStyle w:val="2"/>
        <w:pageBreakBefore w:val="0"/>
        <w:kinsoku/>
        <w:wordWrap/>
        <w:overflowPunct/>
        <w:topLinePunct w:val="0"/>
        <w:autoSpaceDE/>
        <w:autoSpaceDN/>
        <w:bidi w:val="0"/>
        <w:spacing w:line="560" w:lineRule="exact"/>
        <w:ind w:firstLine="643"/>
        <w:textAlignment w:val="auto"/>
        <w:rPr>
          <w:rFonts w:ascii="楷体" w:hAnsi="楷体"/>
          <w:color w:val="auto"/>
        </w:rPr>
      </w:pPr>
      <w:bookmarkStart w:id="11" w:name="_Toc135677305"/>
      <w:r>
        <w:rPr>
          <w:rFonts w:hint="eastAsia" w:ascii="楷体" w:hAnsi="楷体"/>
          <w:color w:val="auto"/>
        </w:rPr>
        <w:t>（一）财务管理</w:t>
      </w:r>
      <w:bookmarkEnd w:id="11"/>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1.财务管理制度健全性</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202</w:t>
      </w:r>
      <w:r>
        <w:rPr>
          <w:rFonts w:hint="eastAsia" w:ascii="仿宋_GB2312" w:hAnsi="宋体" w:eastAsia="仿宋_GB2312" w:cs="宋体"/>
          <w:color w:val="auto"/>
          <w:kern w:val="0"/>
          <w:sz w:val="32"/>
          <w:szCs w:val="32"/>
          <w:lang w:val="en-US" w:eastAsia="zh-CN"/>
        </w:rPr>
        <w:t>2</w:t>
      </w:r>
      <w:r>
        <w:rPr>
          <w:rFonts w:hint="eastAsia" w:ascii="仿宋_GB2312" w:hAnsi="宋体" w:eastAsia="仿宋_GB2312" w:cs="宋体"/>
          <w:color w:val="auto"/>
          <w:kern w:val="0"/>
          <w:sz w:val="32"/>
          <w:szCs w:val="32"/>
        </w:rPr>
        <w:t>年，</w:t>
      </w:r>
      <w:r>
        <w:rPr>
          <w:rFonts w:hint="eastAsia" w:ascii="仿宋_GB2312" w:hAnsi="宋体" w:eastAsia="仿宋_GB2312" w:cs="宋体"/>
          <w:color w:val="auto"/>
          <w:kern w:val="0"/>
          <w:sz w:val="32"/>
          <w:szCs w:val="32"/>
          <w:lang w:eastAsia="zh-CN"/>
        </w:rPr>
        <w:t>市政府外办</w:t>
      </w:r>
      <w:r>
        <w:rPr>
          <w:rFonts w:hint="eastAsia" w:ascii="仿宋_GB2312" w:hAnsi="宋体" w:eastAsia="仿宋_GB2312" w:cs="宋体"/>
          <w:color w:val="auto"/>
          <w:kern w:val="0"/>
          <w:sz w:val="32"/>
          <w:szCs w:val="32"/>
        </w:rPr>
        <w:t>进一步完善机关涉及经济活动的内部控制制度，提高机关内部管理水平和风险防控能力，加强廉政风险防控机制建设，按照全办制度修订汇编工作统一安排，对</w:t>
      </w:r>
      <w:r>
        <w:rPr>
          <w:rFonts w:hint="eastAsia" w:ascii="仿宋_GB2312" w:hAnsi="宋体" w:eastAsia="仿宋_GB2312" w:cs="宋体"/>
          <w:color w:val="auto"/>
          <w:kern w:val="0"/>
          <w:sz w:val="32"/>
          <w:szCs w:val="32"/>
          <w:lang w:val="en-US" w:eastAsia="zh-CN"/>
        </w:rPr>
        <w:t>39</w:t>
      </w:r>
      <w:r>
        <w:rPr>
          <w:rFonts w:hint="eastAsia" w:ascii="仿宋_GB2312" w:hAnsi="宋体" w:eastAsia="仿宋_GB2312" w:cs="宋体"/>
          <w:color w:val="auto"/>
          <w:kern w:val="0"/>
          <w:sz w:val="32"/>
          <w:szCs w:val="32"/>
        </w:rPr>
        <w:t>财务制度进行了梳理和修订，并全部纳入</w:t>
      </w:r>
      <w:r>
        <w:rPr>
          <w:rFonts w:hint="eastAsia" w:ascii="仿宋_GB2312" w:hAnsi="宋体" w:eastAsia="仿宋_GB2312" w:cs="宋体"/>
          <w:color w:val="auto"/>
          <w:kern w:val="0"/>
          <w:sz w:val="32"/>
          <w:szCs w:val="32"/>
          <w:lang w:eastAsia="zh-CN"/>
        </w:rPr>
        <w:t>财务工作</w:t>
      </w:r>
      <w:r>
        <w:rPr>
          <w:rFonts w:hint="eastAsia" w:ascii="仿宋_GB2312" w:hAnsi="宋体" w:eastAsia="仿宋_GB2312" w:cs="宋体"/>
          <w:color w:val="auto"/>
          <w:kern w:val="0"/>
          <w:sz w:val="32"/>
          <w:szCs w:val="32"/>
        </w:rPr>
        <w:t>制度汇编。通过制度修制定工作，增加了多项业务层面内控制度，进一步完善了机关内控制度体系。</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评价分析认为，市政府外办财务管理制度较健全，对规范预算执行和绩效目标的实现具有重要的指导作用。</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2.资金使用合规性和安全性</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部门预算经批准后，市政府外办按照市财政局批复的项目预算在单位内部进行指标分解、审批下达，认真遵守政府采购、资产管理、合同管理、绩效管理等财政财务管理相关规定。从自查的经费支出情况和预算执行审计情况来看，制度执行较好，</w:t>
      </w:r>
      <w:r>
        <w:rPr>
          <w:rFonts w:hint="eastAsia" w:ascii="仿宋_GB2312" w:hAnsi="宋体" w:eastAsia="仿宋_GB2312" w:cs="宋体"/>
          <w:color w:val="auto"/>
          <w:kern w:val="0"/>
          <w:sz w:val="32"/>
          <w:szCs w:val="32"/>
          <w:lang w:eastAsia="zh-CN"/>
        </w:rPr>
        <w:t>会计核算准确</w:t>
      </w:r>
      <w:r>
        <w:rPr>
          <w:rFonts w:hint="eastAsia" w:ascii="仿宋_GB2312" w:hAnsi="宋体" w:eastAsia="仿宋_GB2312" w:cs="宋体"/>
          <w:color w:val="auto"/>
          <w:kern w:val="0"/>
          <w:sz w:val="32"/>
          <w:szCs w:val="32"/>
        </w:rPr>
        <w:t>规范，支出凭单、发票等附件较为齐全，资金使用合规性较强，保障了资金使用的安全。</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3.会计基础信息完善性</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rPr>
      </w:pPr>
      <w:bookmarkStart w:id="12" w:name="_Toc135092819"/>
      <w:bookmarkStart w:id="13" w:name="_Toc135677306"/>
      <w:r>
        <w:rPr>
          <w:rFonts w:hint="eastAsia" w:ascii="仿宋_GB2312" w:hAnsi="宋体" w:eastAsia="仿宋_GB2312" w:cs="宋体"/>
          <w:color w:val="auto"/>
          <w:kern w:val="0"/>
          <w:sz w:val="32"/>
          <w:szCs w:val="32"/>
          <w:lang w:eastAsia="zh-CN"/>
        </w:rPr>
        <w:t>市政府外办</w:t>
      </w:r>
      <w:r>
        <w:rPr>
          <w:rFonts w:hint="eastAsia" w:ascii="仿宋_GB2312" w:hAnsi="宋体" w:eastAsia="仿宋_GB2312" w:cs="宋体"/>
          <w:color w:val="auto"/>
          <w:kern w:val="0"/>
          <w:sz w:val="32"/>
          <w:szCs w:val="32"/>
        </w:rPr>
        <w:t>严格按照政府会计制度和《财政部关于贯彻实施政府会计准则制度的通知》要求做好会计工作，加强对预算、财务、采购及管理等专业知识的学习，积极参加各类培训，及时掌握新规定，确保各项会计核算的规范及预决算数据的准确和完整，按要求做好向社会公开预决算信息工作。</w:t>
      </w:r>
    </w:p>
    <w:p>
      <w:pPr>
        <w:pStyle w:val="2"/>
        <w:pageBreakBefore w:val="0"/>
        <w:kinsoku/>
        <w:wordWrap/>
        <w:overflowPunct/>
        <w:topLinePunct w:val="0"/>
        <w:autoSpaceDE/>
        <w:autoSpaceDN/>
        <w:bidi w:val="0"/>
        <w:spacing w:line="560" w:lineRule="exact"/>
        <w:ind w:firstLine="643"/>
        <w:textAlignment w:val="auto"/>
        <w:rPr>
          <w:rFonts w:ascii="楷体" w:hAnsi="楷体"/>
          <w:color w:val="auto"/>
        </w:rPr>
      </w:pPr>
      <w:r>
        <w:rPr>
          <w:rFonts w:hint="eastAsia" w:ascii="楷体" w:hAnsi="楷体"/>
          <w:color w:val="auto"/>
        </w:rPr>
        <w:t>（二）资产管理</w:t>
      </w:r>
      <w:bookmarkEnd w:id="12"/>
      <w:bookmarkEnd w:id="13"/>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市政府外办根据财政部第</w:t>
      </w:r>
      <w:r>
        <w:rPr>
          <w:rFonts w:ascii="仿宋_GB2312" w:hAnsi="宋体" w:eastAsia="仿宋_GB2312" w:cs="宋体"/>
          <w:color w:val="auto"/>
          <w:kern w:val="0"/>
          <w:sz w:val="32"/>
          <w:szCs w:val="32"/>
        </w:rPr>
        <w:t>35</w:t>
      </w:r>
      <w:r>
        <w:rPr>
          <w:rFonts w:hint="eastAsia" w:ascii="仿宋_GB2312" w:hAnsi="宋体" w:eastAsia="仿宋_GB2312" w:cs="宋体"/>
          <w:color w:val="auto"/>
          <w:kern w:val="0"/>
          <w:sz w:val="32"/>
          <w:szCs w:val="32"/>
        </w:rPr>
        <w:t>号令《行政单位国有资产管理暂行办法》、第</w:t>
      </w:r>
      <w:r>
        <w:rPr>
          <w:rFonts w:ascii="仿宋_GB2312" w:hAnsi="宋体" w:eastAsia="仿宋_GB2312" w:cs="宋体"/>
          <w:color w:val="auto"/>
          <w:kern w:val="0"/>
          <w:sz w:val="32"/>
          <w:szCs w:val="32"/>
        </w:rPr>
        <w:t>36</w:t>
      </w:r>
      <w:r>
        <w:rPr>
          <w:rFonts w:hint="eastAsia" w:ascii="仿宋_GB2312" w:hAnsi="宋体" w:eastAsia="仿宋_GB2312" w:cs="宋体"/>
          <w:color w:val="auto"/>
          <w:kern w:val="0"/>
          <w:sz w:val="32"/>
          <w:szCs w:val="32"/>
        </w:rPr>
        <w:t>号令《事业单位国有资产管理暂行办法》及北京市关于国有资产管理的相关规定，结合单位实际情况，制定了《北京市人民政府外事办公室固定资产管理暂行办法》，规范和加强了市政府外办资产管理工作，维护了国有资产的安全完整、合理配置和有效利用，有利于保障市政府外办整体运行和绩效目标的实现。</w:t>
      </w:r>
    </w:p>
    <w:p>
      <w:pPr>
        <w:pStyle w:val="2"/>
        <w:pageBreakBefore w:val="0"/>
        <w:kinsoku/>
        <w:wordWrap/>
        <w:overflowPunct/>
        <w:topLinePunct w:val="0"/>
        <w:autoSpaceDE/>
        <w:autoSpaceDN/>
        <w:bidi w:val="0"/>
        <w:spacing w:line="560" w:lineRule="exact"/>
        <w:ind w:firstLine="643"/>
        <w:textAlignment w:val="auto"/>
        <w:rPr>
          <w:rFonts w:ascii="楷体" w:hAnsi="楷体"/>
          <w:color w:val="auto"/>
        </w:rPr>
      </w:pPr>
      <w:bookmarkStart w:id="14" w:name="_Toc135677307"/>
      <w:bookmarkStart w:id="15" w:name="_Toc135092820"/>
      <w:r>
        <w:rPr>
          <w:rFonts w:hint="eastAsia" w:ascii="楷体" w:hAnsi="楷体"/>
          <w:color w:val="auto"/>
        </w:rPr>
        <w:t>（三）绩效管理</w:t>
      </w:r>
      <w:bookmarkEnd w:id="14"/>
      <w:bookmarkEnd w:id="15"/>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1</w:t>
      </w:r>
      <w:r>
        <w:rPr>
          <w:rFonts w:hint="eastAsia" w:ascii="仿宋_GB2312" w:hAnsi="宋体" w:eastAsia="仿宋_GB2312" w:cs="宋体"/>
          <w:color w:val="auto"/>
          <w:kern w:val="0"/>
          <w:sz w:val="32"/>
          <w:szCs w:val="32"/>
        </w:rPr>
        <w:t>）组织机构设置情况</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市政府外办明确了绩效管理组织机构为综合处，明确提出综合处负责拟定预算绩效管理制度、办法，统一组织指导预算绩效管理工作，指导业务处室开展预算绩效管理工作。业务处室负责具体实施本单位的预算绩效管理工作，负责项目绩效执行过程中资料的收集、整理、归档工作。绩效管理组织机构设置明确、合理。</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w:t>
      </w:r>
      <w:r>
        <w:rPr>
          <w:rFonts w:ascii="仿宋_GB2312" w:hAnsi="宋体" w:eastAsia="仿宋_GB2312" w:cs="宋体"/>
          <w:color w:val="auto"/>
          <w:kern w:val="0"/>
          <w:sz w:val="32"/>
          <w:szCs w:val="32"/>
        </w:rPr>
        <w:t>2</w:t>
      </w:r>
      <w:r>
        <w:rPr>
          <w:rFonts w:hint="eastAsia" w:ascii="仿宋_GB2312" w:hAnsi="宋体" w:eastAsia="仿宋_GB2312" w:cs="宋体"/>
          <w:color w:val="auto"/>
          <w:kern w:val="0"/>
          <w:sz w:val="32"/>
          <w:szCs w:val="32"/>
        </w:rPr>
        <w:t>）绩效措施</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为有效开展绩效管理，市政府外办综合处委托第三方专业机构组织开展了项目支出绩效评价，对重点项目进行了抽查，在预算绩效管理工作成为常态化的情况下，积极开展绩效管理工作的推进和实施。</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同时，市政府外办科学研判新冠肺炎疫情影响，实时跟踪预算执行进度，及时摸底资金预计支出情况和调整年度预算，及时盘活存量资金，提升预算执行精准度。</w:t>
      </w:r>
    </w:p>
    <w:p>
      <w:pPr>
        <w:pStyle w:val="2"/>
        <w:pageBreakBefore w:val="0"/>
        <w:kinsoku/>
        <w:wordWrap/>
        <w:overflowPunct/>
        <w:topLinePunct w:val="0"/>
        <w:autoSpaceDE/>
        <w:autoSpaceDN/>
        <w:bidi w:val="0"/>
        <w:spacing w:line="560" w:lineRule="exact"/>
        <w:ind w:firstLine="643"/>
        <w:textAlignment w:val="auto"/>
        <w:rPr>
          <w:rFonts w:ascii="楷体" w:hAnsi="楷体"/>
          <w:color w:val="auto"/>
        </w:rPr>
      </w:pPr>
      <w:bookmarkStart w:id="16" w:name="_Toc135677308"/>
      <w:bookmarkStart w:id="17" w:name="_Toc135092821"/>
      <w:r>
        <w:rPr>
          <w:rFonts w:hint="eastAsia" w:ascii="楷体" w:hAnsi="楷体"/>
          <w:color w:val="auto"/>
        </w:rPr>
        <w:t>（四）结转结余率</w:t>
      </w:r>
      <w:bookmarkEnd w:id="16"/>
      <w:bookmarkEnd w:id="17"/>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市政府外办2022年年初结转</w:t>
      </w:r>
      <w:r>
        <w:rPr>
          <w:rFonts w:ascii="仿宋_GB2312" w:hAnsi="宋体" w:eastAsia="仿宋_GB2312" w:cs="宋体"/>
          <w:color w:val="auto"/>
          <w:kern w:val="0"/>
          <w:sz w:val="32"/>
          <w:szCs w:val="32"/>
        </w:rPr>
        <w:t>846.02</w:t>
      </w:r>
      <w:r>
        <w:rPr>
          <w:rFonts w:hint="eastAsia" w:ascii="仿宋_GB2312" w:hAnsi="宋体" w:eastAsia="仿宋_GB2312" w:cs="宋体"/>
          <w:color w:val="auto"/>
          <w:kern w:val="0"/>
          <w:sz w:val="32"/>
          <w:szCs w:val="32"/>
        </w:rPr>
        <w:t>万元，本年收入</w:t>
      </w:r>
      <w:r>
        <w:rPr>
          <w:rFonts w:ascii="仿宋_GB2312" w:hAnsi="宋体" w:eastAsia="仿宋_GB2312" w:cs="宋体"/>
          <w:color w:val="auto"/>
          <w:kern w:val="0"/>
          <w:sz w:val="32"/>
          <w:szCs w:val="32"/>
        </w:rPr>
        <w:t>13600.69</w:t>
      </w:r>
      <w:r>
        <w:rPr>
          <w:rFonts w:hint="eastAsia" w:ascii="仿宋_GB2312" w:hAnsi="宋体" w:eastAsia="仿宋_GB2312" w:cs="宋体"/>
          <w:color w:val="auto"/>
          <w:kern w:val="0"/>
          <w:sz w:val="32"/>
          <w:szCs w:val="32"/>
        </w:rPr>
        <w:t>万元，实际支出</w:t>
      </w:r>
      <w:r>
        <w:rPr>
          <w:rFonts w:ascii="仿宋_GB2312" w:hAnsi="宋体" w:eastAsia="仿宋_GB2312" w:cs="宋体"/>
          <w:color w:val="auto"/>
          <w:kern w:val="0"/>
          <w:sz w:val="32"/>
          <w:szCs w:val="32"/>
        </w:rPr>
        <w:t>134</w:t>
      </w:r>
      <w:r>
        <w:rPr>
          <w:rFonts w:hint="eastAsia" w:ascii="仿宋_GB2312" w:hAnsi="宋体" w:eastAsia="仿宋_GB2312" w:cs="宋体"/>
          <w:color w:val="auto"/>
          <w:kern w:val="0"/>
          <w:sz w:val="32"/>
          <w:szCs w:val="32"/>
          <w:lang w:val="en-US" w:eastAsia="zh-CN"/>
        </w:rPr>
        <w:t>6</w:t>
      </w:r>
      <w:r>
        <w:rPr>
          <w:rFonts w:ascii="仿宋_GB2312" w:hAnsi="宋体" w:eastAsia="仿宋_GB2312" w:cs="宋体"/>
          <w:color w:val="auto"/>
          <w:kern w:val="0"/>
          <w:sz w:val="32"/>
          <w:szCs w:val="32"/>
        </w:rPr>
        <w:t>3.52</w:t>
      </w:r>
      <w:r>
        <w:rPr>
          <w:rFonts w:hint="eastAsia" w:ascii="仿宋_GB2312" w:hAnsi="宋体" w:eastAsia="仿宋_GB2312" w:cs="宋体"/>
          <w:color w:val="auto"/>
          <w:kern w:val="0"/>
          <w:sz w:val="32"/>
          <w:szCs w:val="32"/>
        </w:rPr>
        <w:t>万元，结转结余</w:t>
      </w:r>
      <w:r>
        <w:rPr>
          <w:rFonts w:ascii="仿宋_GB2312" w:hAnsi="宋体" w:eastAsia="仿宋_GB2312" w:cs="宋体"/>
          <w:color w:val="auto"/>
          <w:kern w:val="0"/>
          <w:sz w:val="32"/>
          <w:szCs w:val="32"/>
        </w:rPr>
        <w:t>983.19</w:t>
      </w:r>
      <w:r>
        <w:rPr>
          <w:rFonts w:hint="eastAsia" w:ascii="仿宋_GB2312" w:hAnsi="宋体" w:eastAsia="仿宋_GB2312" w:cs="宋体"/>
          <w:color w:val="auto"/>
          <w:kern w:val="0"/>
          <w:sz w:val="32"/>
          <w:szCs w:val="32"/>
        </w:rPr>
        <w:t>万元，结转结余率</w:t>
      </w:r>
      <w:r>
        <w:rPr>
          <w:rFonts w:ascii="仿宋_GB2312" w:hAnsi="宋体" w:eastAsia="仿宋_GB2312" w:cs="宋体"/>
          <w:color w:val="auto"/>
          <w:kern w:val="0"/>
          <w:sz w:val="32"/>
          <w:szCs w:val="32"/>
        </w:rPr>
        <w:t>6.8%。</w:t>
      </w:r>
      <w:r>
        <w:rPr>
          <w:rFonts w:hint="eastAsia" w:ascii="仿宋_GB2312" w:hAnsi="宋体" w:eastAsia="仿宋_GB2312" w:cs="宋体"/>
          <w:color w:val="auto"/>
          <w:kern w:val="0"/>
          <w:sz w:val="32"/>
          <w:szCs w:val="32"/>
        </w:rPr>
        <w:t>具体结转结余情况如表</w:t>
      </w:r>
      <w:r>
        <w:rPr>
          <w:rFonts w:ascii="仿宋_GB2312" w:hAnsi="宋体" w:eastAsia="仿宋_GB2312" w:cs="宋体"/>
          <w:color w:val="auto"/>
          <w:kern w:val="0"/>
          <w:sz w:val="32"/>
          <w:szCs w:val="32"/>
        </w:rPr>
        <w:t>1所示。</w:t>
      </w:r>
    </w:p>
    <w:p>
      <w:pPr>
        <w:pageBreakBefore w:val="0"/>
        <w:kinsoku/>
        <w:wordWrap/>
        <w:overflowPunct/>
        <w:topLinePunct w:val="0"/>
        <w:autoSpaceDE/>
        <w:autoSpaceDN/>
        <w:bidi w:val="0"/>
        <w:adjustRightInd w:val="0"/>
        <w:snapToGrid w:val="0"/>
        <w:spacing w:line="560" w:lineRule="exact"/>
        <w:jc w:val="center"/>
        <w:textAlignment w:val="auto"/>
        <w:rPr>
          <w:rFonts w:ascii="仿宋" w:hAnsi="仿宋" w:eastAsia="仿宋"/>
          <w:color w:val="auto"/>
          <w:kern w:val="0"/>
          <w:sz w:val="28"/>
          <w:szCs w:val="28"/>
        </w:rPr>
      </w:pPr>
      <w:r>
        <w:rPr>
          <w:rFonts w:hint="eastAsia" w:ascii="仿宋" w:hAnsi="仿宋" w:eastAsia="仿宋"/>
          <w:color w:val="auto"/>
          <w:kern w:val="0"/>
          <w:sz w:val="28"/>
          <w:szCs w:val="28"/>
        </w:rPr>
        <w:t>表</w:t>
      </w:r>
      <w:r>
        <w:rPr>
          <w:rFonts w:ascii="仿宋" w:hAnsi="仿宋" w:eastAsia="仿宋"/>
          <w:color w:val="auto"/>
          <w:kern w:val="0"/>
          <w:sz w:val="28"/>
          <w:szCs w:val="28"/>
        </w:rPr>
        <w:t xml:space="preserve">1 </w:t>
      </w:r>
      <w:r>
        <w:rPr>
          <w:rFonts w:hint="eastAsia" w:ascii="仿宋" w:hAnsi="仿宋" w:eastAsia="仿宋"/>
          <w:color w:val="auto"/>
          <w:kern w:val="0"/>
          <w:sz w:val="28"/>
          <w:szCs w:val="28"/>
        </w:rPr>
        <w:t>结转结余情况</w:t>
      </w:r>
    </w:p>
    <w:p>
      <w:pPr>
        <w:pageBreakBefore w:val="0"/>
        <w:kinsoku/>
        <w:wordWrap/>
        <w:overflowPunct/>
        <w:topLinePunct w:val="0"/>
        <w:autoSpaceDE/>
        <w:autoSpaceDN/>
        <w:bidi w:val="0"/>
        <w:adjustRightInd w:val="0"/>
        <w:snapToGrid w:val="0"/>
        <w:spacing w:line="560" w:lineRule="exact"/>
        <w:ind w:firstLine="480" w:firstLineChars="200"/>
        <w:jc w:val="right"/>
        <w:textAlignment w:val="auto"/>
        <w:rPr>
          <w:rFonts w:ascii="楷体_GB2312" w:eastAsia="楷体_GB2312"/>
          <w:color w:val="auto"/>
          <w:sz w:val="28"/>
          <w:szCs w:val="28"/>
        </w:rPr>
      </w:pPr>
      <w:r>
        <w:rPr>
          <w:rFonts w:hint="eastAsia" w:ascii="仿宋" w:hAnsi="仿宋" w:eastAsia="仿宋" w:cs="仿宋"/>
          <w:color w:val="auto"/>
          <w:sz w:val="24"/>
          <w:szCs w:val="24"/>
        </w:rPr>
        <w:t>单位：万元</w:t>
      </w:r>
    </w:p>
    <w:tbl>
      <w:tblPr>
        <w:tblStyle w:val="13"/>
        <w:tblW w:w="0" w:type="auto"/>
        <w:tblInd w:w="0" w:type="dxa"/>
        <w:tblLayout w:type="autofit"/>
        <w:tblCellMar>
          <w:top w:w="0" w:type="dxa"/>
          <w:left w:w="108" w:type="dxa"/>
          <w:bottom w:w="0" w:type="dxa"/>
          <w:right w:w="108" w:type="dxa"/>
        </w:tblCellMar>
      </w:tblPr>
      <w:tblGrid>
        <w:gridCol w:w="936"/>
        <w:gridCol w:w="863"/>
        <w:gridCol w:w="1187"/>
        <w:gridCol w:w="1176"/>
        <w:gridCol w:w="1176"/>
        <w:gridCol w:w="936"/>
        <w:gridCol w:w="1061"/>
        <w:gridCol w:w="1187"/>
      </w:tblGrid>
      <w:tr>
        <w:tblPrEx>
          <w:tblCellMar>
            <w:top w:w="0" w:type="dxa"/>
            <w:left w:w="108" w:type="dxa"/>
            <w:bottom w:w="0" w:type="dxa"/>
            <w:right w:w="108" w:type="dxa"/>
          </w:tblCellMar>
        </w:tblPrEx>
        <w:trPr>
          <w:trHeight w:val="280" w:hRule="atLeast"/>
        </w:trPr>
        <w:tc>
          <w:tcPr>
            <w:tcW w:w="0" w:type="auto"/>
            <w:gridSpan w:val="3"/>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spacing w:line="560" w:lineRule="exact"/>
              <w:jc w:val="center"/>
              <w:textAlignment w:val="auto"/>
              <w:rPr>
                <w:rFonts w:cs="Arial" w:asciiTheme="minorEastAsia" w:hAnsiTheme="minorEastAsia" w:eastAsiaTheme="minorEastAsia"/>
                <w:color w:val="auto"/>
                <w:kern w:val="0"/>
                <w:sz w:val="24"/>
              </w:rPr>
            </w:pPr>
            <w:r>
              <w:rPr>
                <w:rFonts w:hint="eastAsia" w:cs="Arial" w:asciiTheme="minorEastAsia" w:hAnsiTheme="minorEastAsia" w:eastAsiaTheme="minorEastAsia"/>
                <w:color w:val="auto"/>
                <w:kern w:val="0"/>
                <w:sz w:val="24"/>
              </w:rPr>
              <w:t>年初结转和结余</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spacing w:line="560" w:lineRule="exact"/>
              <w:jc w:val="center"/>
              <w:textAlignment w:val="auto"/>
              <w:rPr>
                <w:rFonts w:cs="Arial" w:asciiTheme="minorEastAsia" w:hAnsiTheme="minorEastAsia" w:eastAsiaTheme="minorEastAsia"/>
                <w:color w:val="auto"/>
                <w:kern w:val="0"/>
                <w:sz w:val="24"/>
              </w:rPr>
            </w:pPr>
            <w:r>
              <w:rPr>
                <w:rFonts w:hint="eastAsia" w:cs="Arial" w:asciiTheme="minorEastAsia" w:hAnsiTheme="minorEastAsia" w:eastAsiaTheme="minorEastAsia"/>
                <w:color w:val="auto"/>
                <w:kern w:val="0"/>
                <w:sz w:val="24"/>
              </w:rPr>
              <w:t>本年收入</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spacing w:line="560" w:lineRule="exact"/>
              <w:jc w:val="center"/>
              <w:textAlignment w:val="auto"/>
              <w:rPr>
                <w:rFonts w:cs="Arial" w:asciiTheme="minorEastAsia" w:hAnsiTheme="minorEastAsia" w:eastAsiaTheme="minorEastAsia"/>
                <w:color w:val="auto"/>
                <w:kern w:val="0"/>
                <w:sz w:val="24"/>
              </w:rPr>
            </w:pPr>
            <w:r>
              <w:rPr>
                <w:rFonts w:hint="eastAsia" w:cs="Arial" w:asciiTheme="minorEastAsia" w:hAnsiTheme="minorEastAsia" w:eastAsiaTheme="minorEastAsia"/>
                <w:color w:val="auto"/>
                <w:kern w:val="0"/>
                <w:sz w:val="24"/>
              </w:rPr>
              <w:t>本年支出</w:t>
            </w:r>
          </w:p>
        </w:tc>
        <w:tc>
          <w:tcPr>
            <w:tcW w:w="0" w:type="auto"/>
            <w:gridSpan w:val="3"/>
            <w:tcBorders>
              <w:top w:val="single" w:color="auto" w:sz="4" w:space="0"/>
              <w:left w:val="nil"/>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spacing w:line="560" w:lineRule="exact"/>
              <w:jc w:val="center"/>
              <w:textAlignment w:val="auto"/>
              <w:rPr>
                <w:rFonts w:cs="Arial" w:asciiTheme="minorEastAsia" w:hAnsiTheme="minorEastAsia" w:eastAsiaTheme="minorEastAsia"/>
                <w:color w:val="auto"/>
                <w:kern w:val="0"/>
                <w:sz w:val="24"/>
              </w:rPr>
            </w:pPr>
            <w:r>
              <w:rPr>
                <w:rFonts w:hint="eastAsia" w:cs="Arial" w:asciiTheme="minorEastAsia" w:hAnsiTheme="minorEastAsia" w:eastAsiaTheme="minorEastAsia"/>
                <w:color w:val="auto"/>
                <w:kern w:val="0"/>
                <w:sz w:val="24"/>
              </w:rPr>
              <w:t>收支结余</w:t>
            </w:r>
          </w:p>
        </w:tc>
      </w:tr>
      <w:tr>
        <w:tblPrEx>
          <w:tblCellMar>
            <w:top w:w="0" w:type="dxa"/>
            <w:left w:w="108" w:type="dxa"/>
            <w:bottom w:w="0" w:type="dxa"/>
            <w:right w:w="108" w:type="dxa"/>
          </w:tblCellMar>
        </w:tblPrEx>
        <w:trPr>
          <w:trHeight w:val="435" w:hRule="atLeast"/>
        </w:trPr>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spacing w:line="560" w:lineRule="exact"/>
              <w:jc w:val="center"/>
              <w:textAlignment w:val="auto"/>
              <w:rPr>
                <w:rFonts w:cs="Arial" w:asciiTheme="minorEastAsia" w:hAnsiTheme="minorEastAsia" w:eastAsiaTheme="minorEastAsia"/>
                <w:color w:val="auto"/>
                <w:kern w:val="0"/>
                <w:sz w:val="24"/>
              </w:rPr>
            </w:pPr>
            <w:r>
              <w:rPr>
                <w:rFonts w:hint="eastAsia" w:cs="Arial" w:asciiTheme="minorEastAsia" w:hAnsiTheme="minorEastAsia" w:eastAsiaTheme="minorEastAsia"/>
                <w:color w:val="auto"/>
                <w:kern w:val="0"/>
                <w:sz w:val="24"/>
              </w:rPr>
              <w:t>合计</w:t>
            </w: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spacing w:line="560" w:lineRule="exact"/>
              <w:jc w:val="center"/>
              <w:textAlignment w:val="auto"/>
              <w:rPr>
                <w:rFonts w:cs="Arial" w:asciiTheme="minorEastAsia" w:hAnsiTheme="minorEastAsia" w:eastAsiaTheme="minorEastAsia"/>
                <w:color w:val="auto"/>
                <w:kern w:val="0"/>
                <w:sz w:val="24"/>
              </w:rPr>
            </w:pPr>
            <w:r>
              <w:rPr>
                <w:rFonts w:hint="eastAsia" w:cs="Arial" w:asciiTheme="minorEastAsia" w:hAnsiTheme="minorEastAsia" w:eastAsiaTheme="minorEastAsia"/>
                <w:color w:val="auto"/>
                <w:kern w:val="0"/>
                <w:sz w:val="24"/>
              </w:rPr>
              <w:t>基本支出结转</w:t>
            </w: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spacing w:line="560" w:lineRule="exact"/>
              <w:jc w:val="center"/>
              <w:textAlignment w:val="auto"/>
              <w:rPr>
                <w:rFonts w:cs="Arial" w:asciiTheme="minorEastAsia" w:hAnsiTheme="minorEastAsia" w:eastAsiaTheme="minorEastAsia"/>
                <w:color w:val="auto"/>
                <w:kern w:val="0"/>
                <w:sz w:val="24"/>
              </w:rPr>
            </w:pPr>
            <w:r>
              <w:rPr>
                <w:rFonts w:hint="eastAsia" w:cs="Arial" w:asciiTheme="minorEastAsia" w:hAnsiTheme="minorEastAsia" w:eastAsiaTheme="minorEastAsia"/>
                <w:color w:val="auto"/>
                <w:kern w:val="0"/>
                <w:sz w:val="24"/>
              </w:rPr>
              <w:t>项目支出结转和结余</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spacing w:line="560" w:lineRule="exact"/>
              <w:jc w:val="center"/>
              <w:textAlignment w:val="auto"/>
              <w:rPr>
                <w:rFonts w:cs="Arial" w:asciiTheme="minorEastAsia" w:hAnsiTheme="minorEastAsia" w:eastAsiaTheme="minorEastAsia"/>
                <w:color w:val="auto"/>
                <w:kern w:val="0"/>
                <w:sz w:val="24"/>
              </w:rPr>
            </w:pPr>
            <w:r>
              <w:rPr>
                <w:rFonts w:hint="eastAsia" w:cs="Arial" w:asciiTheme="minorEastAsia" w:hAnsiTheme="minorEastAsia" w:eastAsiaTheme="minorEastAsia"/>
                <w:color w:val="auto"/>
                <w:kern w:val="0"/>
                <w:sz w:val="24"/>
              </w:rPr>
              <w:t>合计</w:t>
            </w: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spacing w:line="560" w:lineRule="exact"/>
              <w:jc w:val="center"/>
              <w:textAlignment w:val="auto"/>
              <w:rPr>
                <w:rFonts w:cs="Arial" w:asciiTheme="minorEastAsia" w:hAnsiTheme="minorEastAsia" w:eastAsiaTheme="minorEastAsia"/>
                <w:color w:val="auto"/>
                <w:kern w:val="0"/>
                <w:sz w:val="24"/>
              </w:rPr>
            </w:pPr>
            <w:r>
              <w:rPr>
                <w:rFonts w:hint="eastAsia" w:cs="Arial" w:asciiTheme="minorEastAsia" w:hAnsiTheme="minorEastAsia" w:eastAsiaTheme="minorEastAsia"/>
                <w:color w:val="auto"/>
                <w:kern w:val="0"/>
                <w:sz w:val="24"/>
              </w:rPr>
              <w:t>基本支出结转</w:t>
            </w:r>
          </w:p>
        </w:tc>
        <w:tc>
          <w:tcPr>
            <w:tcW w:w="0" w:type="auto"/>
            <w:vMerge w:val="restart"/>
            <w:tcBorders>
              <w:top w:val="nil"/>
              <w:left w:val="single" w:color="auto" w:sz="4" w:space="0"/>
              <w:bottom w:val="single" w:color="auto" w:sz="4" w:space="0"/>
              <w:right w:val="single" w:color="auto" w:sz="4" w:space="0"/>
            </w:tcBorders>
            <w:shd w:val="clear" w:color="auto" w:fill="auto"/>
            <w:vAlign w:val="center"/>
          </w:tcPr>
          <w:p>
            <w:pPr>
              <w:pageBreakBefore w:val="0"/>
              <w:widowControl/>
              <w:kinsoku/>
              <w:wordWrap/>
              <w:overflowPunct/>
              <w:topLinePunct w:val="0"/>
              <w:autoSpaceDE/>
              <w:autoSpaceDN/>
              <w:bidi w:val="0"/>
              <w:spacing w:line="560" w:lineRule="exact"/>
              <w:jc w:val="center"/>
              <w:textAlignment w:val="auto"/>
              <w:rPr>
                <w:rFonts w:cs="Arial" w:asciiTheme="minorEastAsia" w:hAnsiTheme="minorEastAsia" w:eastAsiaTheme="minorEastAsia"/>
                <w:color w:val="auto"/>
                <w:kern w:val="0"/>
                <w:sz w:val="24"/>
              </w:rPr>
            </w:pPr>
            <w:r>
              <w:rPr>
                <w:rFonts w:hint="eastAsia" w:cs="Arial" w:asciiTheme="minorEastAsia" w:hAnsiTheme="minorEastAsia" w:eastAsiaTheme="minorEastAsia"/>
                <w:color w:val="auto"/>
                <w:kern w:val="0"/>
                <w:sz w:val="24"/>
              </w:rPr>
              <w:t>项目支出结转和结余</w:t>
            </w:r>
          </w:p>
        </w:tc>
      </w:tr>
      <w:tr>
        <w:tblPrEx>
          <w:tblCellMar>
            <w:top w:w="0" w:type="dxa"/>
            <w:left w:w="108" w:type="dxa"/>
            <w:bottom w:w="0" w:type="dxa"/>
            <w:right w:w="108" w:type="dxa"/>
          </w:tblCellMar>
        </w:tblPrEx>
        <w:trPr>
          <w:trHeight w:val="560" w:hRule="atLeast"/>
        </w:trPr>
        <w:tc>
          <w:tcPr>
            <w:tcW w:w="0" w:type="auto"/>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p>
        </w:tc>
        <w:tc>
          <w:tcPr>
            <w:tcW w:w="0" w:type="auto"/>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p>
        </w:tc>
        <w:tc>
          <w:tcPr>
            <w:tcW w:w="0" w:type="auto"/>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p>
        </w:tc>
        <w:tc>
          <w:tcPr>
            <w:tcW w:w="0" w:type="auto"/>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p>
        </w:tc>
        <w:tc>
          <w:tcPr>
            <w:tcW w:w="0" w:type="auto"/>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p>
        </w:tc>
        <w:tc>
          <w:tcPr>
            <w:tcW w:w="0" w:type="auto"/>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p>
        </w:tc>
      </w:tr>
      <w:tr>
        <w:tblPrEx>
          <w:tblCellMar>
            <w:top w:w="0" w:type="dxa"/>
            <w:left w:w="108" w:type="dxa"/>
            <w:bottom w:w="0" w:type="dxa"/>
            <w:right w:w="108" w:type="dxa"/>
          </w:tblCellMar>
        </w:tblPrEx>
        <w:trPr>
          <w:trHeight w:val="435" w:hRule="atLeast"/>
        </w:trPr>
        <w:tc>
          <w:tcPr>
            <w:tcW w:w="0" w:type="auto"/>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p>
        </w:tc>
        <w:tc>
          <w:tcPr>
            <w:tcW w:w="0" w:type="auto"/>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p>
        </w:tc>
        <w:tc>
          <w:tcPr>
            <w:tcW w:w="0" w:type="auto"/>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p>
        </w:tc>
        <w:tc>
          <w:tcPr>
            <w:tcW w:w="0" w:type="auto"/>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p>
        </w:tc>
        <w:tc>
          <w:tcPr>
            <w:tcW w:w="0" w:type="auto"/>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p>
        </w:tc>
        <w:tc>
          <w:tcPr>
            <w:tcW w:w="0" w:type="auto"/>
            <w:vMerge w:val="continue"/>
            <w:tcBorders>
              <w:top w:val="nil"/>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p>
        </w:tc>
      </w:tr>
      <w:tr>
        <w:tblPrEx>
          <w:tblCellMar>
            <w:top w:w="0" w:type="dxa"/>
            <w:left w:w="108" w:type="dxa"/>
            <w:bottom w:w="0" w:type="dxa"/>
            <w:right w:w="108" w:type="dxa"/>
          </w:tblCellMar>
        </w:tblPrEx>
        <w:trPr>
          <w:trHeight w:val="280" w:hRule="atLeast"/>
        </w:trPr>
        <w:tc>
          <w:tcPr>
            <w:tcW w:w="0" w:type="auto"/>
            <w:tcBorders>
              <w:top w:val="nil"/>
              <w:left w:val="single" w:color="auto" w:sz="4" w:space="0"/>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spacing w:line="560" w:lineRule="exact"/>
              <w:jc w:val="right"/>
              <w:textAlignment w:val="auto"/>
              <w:rPr>
                <w:rFonts w:cs="Arial" w:asciiTheme="minorEastAsia" w:hAnsiTheme="minorEastAsia" w:eastAsiaTheme="minorEastAsia"/>
                <w:color w:val="auto"/>
                <w:kern w:val="0"/>
                <w:sz w:val="24"/>
              </w:rPr>
            </w:pPr>
            <w:r>
              <w:rPr>
                <w:rFonts w:cs="Arial" w:asciiTheme="minorEastAsia" w:hAnsiTheme="minorEastAsia" w:eastAsiaTheme="minorEastAsia"/>
                <w:color w:val="auto"/>
                <w:kern w:val="0"/>
                <w:sz w:val="24"/>
              </w:rPr>
              <w:t xml:space="preserve">846.02 </w:t>
            </w:r>
          </w:p>
        </w:tc>
        <w:tc>
          <w:tcPr>
            <w:tcW w:w="0" w:type="auto"/>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spacing w:line="560" w:lineRule="exact"/>
              <w:jc w:val="right"/>
              <w:textAlignment w:val="auto"/>
              <w:rPr>
                <w:rFonts w:cs="Arial" w:asciiTheme="minorEastAsia" w:hAnsiTheme="minorEastAsia" w:eastAsiaTheme="minorEastAsia"/>
                <w:color w:val="auto"/>
                <w:kern w:val="0"/>
                <w:sz w:val="24"/>
              </w:rPr>
            </w:pPr>
            <w:r>
              <w:rPr>
                <w:rFonts w:cs="Arial" w:asciiTheme="minorEastAsia" w:hAnsiTheme="minorEastAsia" w:eastAsiaTheme="minorEastAsia"/>
                <w:color w:val="auto"/>
                <w:kern w:val="0"/>
                <w:sz w:val="24"/>
              </w:rPr>
              <w:t xml:space="preserve">0.00 </w:t>
            </w:r>
          </w:p>
        </w:tc>
        <w:tc>
          <w:tcPr>
            <w:tcW w:w="0" w:type="auto"/>
            <w:tcBorders>
              <w:top w:val="nil"/>
              <w:left w:val="nil"/>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spacing w:line="560" w:lineRule="exact"/>
              <w:jc w:val="right"/>
              <w:textAlignment w:val="auto"/>
              <w:rPr>
                <w:rFonts w:cs="Arial" w:asciiTheme="minorEastAsia" w:hAnsiTheme="minorEastAsia" w:eastAsiaTheme="minorEastAsia"/>
                <w:color w:val="auto"/>
                <w:kern w:val="0"/>
                <w:sz w:val="24"/>
              </w:rPr>
            </w:pPr>
            <w:r>
              <w:rPr>
                <w:rFonts w:cs="Arial" w:asciiTheme="minorEastAsia" w:hAnsiTheme="minorEastAsia" w:eastAsiaTheme="minorEastAsia"/>
                <w:color w:val="auto"/>
                <w:kern w:val="0"/>
                <w:sz w:val="24"/>
              </w:rPr>
              <w:t xml:space="preserve">846.02 </w:t>
            </w:r>
          </w:p>
        </w:tc>
        <w:tc>
          <w:tcPr>
            <w:tcW w:w="0" w:type="auto"/>
            <w:tcBorders>
              <w:top w:val="nil"/>
              <w:left w:val="nil"/>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spacing w:line="560" w:lineRule="exact"/>
              <w:jc w:val="right"/>
              <w:textAlignment w:val="auto"/>
              <w:rPr>
                <w:rFonts w:cs="Arial" w:asciiTheme="minorEastAsia" w:hAnsiTheme="minorEastAsia" w:eastAsiaTheme="minorEastAsia"/>
                <w:color w:val="auto"/>
                <w:kern w:val="0"/>
                <w:sz w:val="24"/>
              </w:rPr>
            </w:pPr>
            <w:r>
              <w:rPr>
                <w:rFonts w:cs="Arial" w:asciiTheme="minorEastAsia" w:hAnsiTheme="minorEastAsia" w:eastAsiaTheme="minorEastAsia"/>
                <w:color w:val="auto"/>
                <w:kern w:val="0"/>
                <w:sz w:val="24"/>
              </w:rPr>
              <w:t xml:space="preserve">13600.69 </w:t>
            </w:r>
          </w:p>
        </w:tc>
        <w:tc>
          <w:tcPr>
            <w:tcW w:w="0" w:type="auto"/>
            <w:tcBorders>
              <w:top w:val="nil"/>
              <w:left w:val="nil"/>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spacing w:line="560" w:lineRule="exact"/>
              <w:jc w:val="right"/>
              <w:textAlignment w:val="auto"/>
              <w:rPr>
                <w:rFonts w:cs="Arial" w:asciiTheme="minorEastAsia" w:hAnsiTheme="minorEastAsia" w:eastAsiaTheme="minorEastAsia"/>
                <w:color w:val="auto"/>
                <w:kern w:val="0"/>
                <w:sz w:val="24"/>
              </w:rPr>
            </w:pPr>
            <w:r>
              <w:rPr>
                <w:rFonts w:cs="Arial" w:asciiTheme="minorEastAsia" w:hAnsiTheme="minorEastAsia" w:eastAsiaTheme="minorEastAsia"/>
                <w:color w:val="auto"/>
                <w:kern w:val="0"/>
                <w:sz w:val="24"/>
              </w:rPr>
              <w:t xml:space="preserve">13463.52 </w:t>
            </w:r>
          </w:p>
        </w:tc>
        <w:tc>
          <w:tcPr>
            <w:tcW w:w="0" w:type="auto"/>
            <w:tcBorders>
              <w:top w:val="nil"/>
              <w:left w:val="nil"/>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spacing w:line="560" w:lineRule="exact"/>
              <w:jc w:val="right"/>
              <w:textAlignment w:val="auto"/>
              <w:rPr>
                <w:rFonts w:cs="Arial" w:asciiTheme="minorEastAsia" w:hAnsiTheme="minorEastAsia" w:eastAsiaTheme="minorEastAsia"/>
                <w:color w:val="auto"/>
                <w:kern w:val="0"/>
                <w:sz w:val="24"/>
              </w:rPr>
            </w:pPr>
            <w:r>
              <w:rPr>
                <w:rFonts w:cs="Arial" w:asciiTheme="minorEastAsia" w:hAnsiTheme="minorEastAsia" w:eastAsiaTheme="minorEastAsia"/>
                <w:color w:val="auto"/>
                <w:kern w:val="0"/>
                <w:sz w:val="24"/>
              </w:rPr>
              <w:t xml:space="preserve">983.19 </w:t>
            </w:r>
          </w:p>
        </w:tc>
        <w:tc>
          <w:tcPr>
            <w:tcW w:w="0" w:type="auto"/>
            <w:tcBorders>
              <w:top w:val="nil"/>
              <w:left w:val="nil"/>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spacing w:line="560" w:lineRule="exact"/>
              <w:jc w:val="right"/>
              <w:textAlignment w:val="auto"/>
              <w:rPr>
                <w:rFonts w:cs="Arial" w:asciiTheme="minorEastAsia" w:hAnsiTheme="minorEastAsia" w:eastAsiaTheme="minorEastAsia"/>
                <w:color w:val="auto"/>
                <w:kern w:val="0"/>
                <w:sz w:val="24"/>
              </w:rPr>
            </w:pPr>
            <w:r>
              <w:rPr>
                <w:rFonts w:cs="Arial" w:asciiTheme="minorEastAsia" w:hAnsiTheme="minorEastAsia" w:eastAsiaTheme="minorEastAsia"/>
                <w:color w:val="auto"/>
                <w:kern w:val="0"/>
                <w:sz w:val="24"/>
              </w:rPr>
              <w:t xml:space="preserve">497.58 </w:t>
            </w:r>
          </w:p>
        </w:tc>
        <w:tc>
          <w:tcPr>
            <w:tcW w:w="0" w:type="auto"/>
            <w:tcBorders>
              <w:top w:val="nil"/>
              <w:left w:val="nil"/>
              <w:bottom w:val="single" w:color="auto" w:sz="4" w:space="0"/>
              <w:right w:val="single" w:color="auto" w:sz="4" w:space="0"/>
            </w:tcBorders>
            <w:shd w:val="clear" w:color="auto" w:fill="auto"/>
            <w:noWrap/>
            <w:vAlign w:val="bottom"/>
          </w:tcPr>
          <w:p>
            <w:pPr>
              <w:pageBreakBefore w:val="0"/>
              <w:widowControl/>
              <w:kinsoku/>
              <w:wordWrap/>
              <w:overflowPunct/>
              <w:topLinePunct w:val="0"/>
              <w:autoSpaceDE/>
              <w:autoSpaceDN/>
              <w:bidi w:val="0"/>
              <w:spacing w:line="560" w:lineRule="exact"/>
              <w:jc w:val="right"/>
              <w:textAlignment w:val="auto"/>
              <w:rPr>
                <w:rFonts w:cs="Arial" w:asciiTheme="minorEastAsia" w:hAnsiTheme="minorEastAsia" w:eastAsiaTheme="minorEastAsia"/>
                <w:color w:val="auto"/>
                <w:kern w:val="0"/>
                <w:sz w:val="24"/>
              </w:rPr>
            </w:pPr>
            <w:r>
              <w:rPr>
                <w:rFonts w:cs="Arial" w:asciiTheme="minorEastAsia" w:hAnsiTheme="minorEastAsia" w:eastAsiaTheme="minorEastAsia"/>
                <w:color w:val="auto"/>
                <w:kern w:val="0"/>
                <w:sz w:val="24"/>
              </w:rPr>
              <w:t xml:space="preserve">485.61 </w:t>
            </w:r>
          </w:p>
        </w:tc>
      </w:tr>
    </w:tbl>
    <w:p>
      <w:pPr>
        <w:pStyle w:val="2"/>
        <w:pageBreakBefore w:val="0"/>
        <w:kinsoku/>
        <w:wordWrap/>
        <w:overflowPunct/>
        <w:topLinePunct w:val="0"/>
        <w:autoSpaceDE/>
        <w:autoSpaceDN/>
        <w:bidi w:val="0"/>
        <w:spacing w:line="560" w:lineRule="exact"/>
        <w:ind w:left="0" w:leftChars="0" w:firstLine="642" w:firstLineChars="200"/>
        <w:textAlignment w:val="auto"/>
        <w:rPr>
          <w:rFonts w:ascii="楷体" w:hAnsi="楷体"/>
          <w:color w:val="auto"/>
        </w:rPr>
      </w:pPr>
      <w:bookmarkStart w:id="18" w:name="_Toc135677309"/>
      <w:r>
        <w:rPr>
          <w:rFonts w:hint="eastAsia" w:ascii="楷体" w:hAnsi="楷体"/>
          <w:color w:val="auto"/>
        </w:rPr>
        <w:t>（五）部门预决算差异率</w:t>
      </w:r>
      <w:bookmarkEnd w:id="18"/>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ascii="仿宋_GB2312" w:hAnsi="宋体" w:eastAsia="仿宋_GB2312" w:cs="宋体"/>
          <w:color w:val="auto"/>
          <w:kern w:val="0"/>
          <w:sz w:val="32"/>
          <w:szCs w:val="32"/>
        </w:rPr>
        <w:t>2022</w:t>
      </w:r>
      <w:r>
        <w:rPr>
          <w:rFonts w:hint="eastAsia" w:ascii="仿宋_GB2312" w:hAnsi="宋体" w:eastAsia="仿宋_GB2312" w:cs="宋体"/>
          <w:color w:val="auto"/>
          <w:kern w:val="0"/>
          <w:sz w:val="32"/>
          <w:szCs w:val="32"/>
        </w:rPr>
        <w:t>年市政府外办各项支付的预决算差异率，如表2所示。</w:t>
      </w:r>
    </w:p>
    <w:p>
      <w:pPr>
        <w:pageBreakBefore w:val="0"/>
        <w:kinsoku/>
        <w:wordWrap/>
        <w:overflowPunct/>
        <w:topLinePunct w:val="0"/>
        <w:autoSpaceDE/>
        <w:autoSpaceDN/>
        <w:bidi w:val="0"/>
        <w:adjustRightInd w:val="0"/>
        <w:snapToGrid w:val="0"/>
        <w:spacing w:line="560" w:lineRule="exact"/>
        <w:jc w:val="center"/>
        <w:textAlignment w:val="auto"/>
        <w:rPr>
          <w:rFonts w:ascii="楷体_GB2312" w:eastAsia="楷体_GB2312"/>
          <w:color w:val="auto"/>
          <w:sz w:val="28"/>
          <w:szCs w:val="28"/>
        </w:rPr>
      </w:pPr>
      <w:r>
        <w:rPr>
          <w:rFonts w:hint="eastAsia" w:ascii="仿宋" w:hAnsi="仿宋" w:eastAsia="仿宋"/>
          <w:color w:val="auto"/>
          <w:kern w:val="0"/>
          <w:sz w:val="28"/>
          <w:szCs w:val="28"/>
        </w:rPr>
        <w:t>表</w:t>
      </w:r>
      <w:r>
        <w:rPr>
          <w:rFonts w:ascii="仿宋" w:hAnsi="仿宋" w:eastAsia="仿宋"/>
          <w:color w:val="auto"/>
          <w:kern w:val="0"/>
          <w:sz w:val="28"/>
          <w:szCs w:val="28"/>
        </w:rPr>
        <w:t>2 2022</w:t>
      </w:r>
      <w:r>
        <w:rPr>
          <w:rFonts w:hint="eastAsia" w:ascii="仿宋" w:hAnsi="仿宋" w:eastAsia="仿宋"/>
          <w:color w:val="auto"/>
          <w:kern w:val="0"/>
          <w:sz w:val="28"/>
          <w:szCs w:val="28"/>
        </w:rPr>
        <w:t>年预决算差异率表</w:t>
      </w:r>
    </w:p>
    <w:tbl>
      <w:tblPr>
        <w:tblStyle w:val="13"/>
        <w:tblW w:w="5053" w:type="pct"/>
        <w:tblInd w:w="0" w:type="dxa"/>
        <w:tblLayout w:type="fixed"/>
        <w:tblCellMar>
          <w:top w:w="0" w:type="dxa"/>
          <w:left w:w="108" w:type="dxa"/>
          <w:bottom w:w="0" w:type="dxa"/>
          <w:right w:w="108" w:type="dxa"/>
        </w:tblCellMar>
      </w:tblPr>
      <w:tblGrid>
        <w:gridCol w:w="2518"/>
        <w:gridCol w:w="1700"/>
        <w:gridCol w:w="1418"/>
        <w:gridCol w:w="1559"/>
        <w:gridCol w:w="1418"/>
      </w:tblGrid>
      <w:tr>
        <w:tblPrEx>
          <w:tblCellMar>
            <w:top w:w="0" w:type="dxa"/>
            <w:left w:w="108" w:type="dxa"/>
            <w:bottom w:w="0" w:type="dxa"/>
            <w:right w:w="108" w:type="dxa"/>
          </w:tblCellMar>
        </w:tblPrEx>
        <w:trPr>
          <w:trHeight w:val="555" w:hRule="atLeast"/>
        </w:trPr>
        <w:tc>
          <w:tcPr>
            <w:tcW w:w="1462" w:type="pct"/>
            <w:tcBorders>
              <w:top w:val="single" w:color="auto" w:sz="4" w:space="0"/>
              <w:left w:val="single" w:color="auto" w:sz="4" w:space="0"/>
              <w:bottom w:val="single" w:color="auto" w:sz="4" w:space="0"/>
              <w:right w:val="single" w:color="auto" w:sz="4" w:space="0"/>
            </w:tcBorders>
            <w:shd w:val="clear" w:color="auto" w:fill="D0CECE" w:themeFill="background2" w:themeFillShade="E6"/>
            <w:noWrap/>
            <w:vAlign w:val="center"/>
          </w:tcPr>
          <w:p>
            <w:pPr>
              <w:pageBreakBefore w:val="0"/>
              <w:widowControl/>
              <w:kinsoku/>
              <w:wordWrap/>
              <w:overflowPunct/>
              <w:topLinePunct w:val="0"/>
              <w:autoSpaceDE/>
              <w:autoSpaceDN/>
              <w:bidi w:val="0"/>
              <w:spacing w:line="560" w:lineRule="exact"/>
              <w:jc w:val="center"/>
              <w:textAlignment w:val="auto"/>
              <w:rPr>
                <w:rFonts w:cs="Arial" w:asciiTheme="minorEastAsia" w:hAnsiTheme="minorEastAsia" w:eastAsiaTheme="minorEastAsia"/>
                <w:b/>
                <w:color w:val="auto"/>
                <w:kern w:val="0"/>
                <w:sz w:val="24"/>
              </w:rPr>
            </w:pPr>
            <w:r>
              <w:rPr>
                <w:rFonts w:hint="eastAsia" w:cs="Arial" w:asciiTheme="minorEastAsia" w:hAnsiTheme="minorEastAsia" w:eastAsiaTheme="minorEastAsia"/>
                <w:b/>
                <w:color w:val="auto"/>
                <w:kern w:val="0"/>
                <w:sz w:val="24"/>
              </w:rPr>
              <w:t>项目</w:t>
            </w:r>
            <w:r>
              <w:rPr>
                <w:rFonts w:cs="Arial" w:asciiTheme="minorEastAsia" w:hAnsiTheme="minorEastAsia" w:eastAsiaTheme="minorEastAsia"/>
                <w:b/>
                <w:color w:val="auto"/>
                <w:kern w:val="0"/>
                <w:sz w:val="24"/>
              </w:rPr>
              <w:t>(按功能分类)</w:t>
            </w:r>
          </w:p>
        </w:tc>
        <w:tc>
          <w:tcPr>
            <w:tcW w:w="987" w:type="pct"/>
            <w:tcBorders>
              <w:top w:val="single" w:color="auto" w:sz="4" w:space="0"/>
              <w:left w:val="nil"/>
              <w:bottom w:val="single" w:color="auto" w:sz="4" w:space="0"/>
              <w:right w:val="single" w:color="auto" w:sz="4" w:space="0"/>
            </w:tcBorders>
            <w:shd w:val="clear" w:color="auto" w:fill="D0CECE" w:themeFill="background2" w:themeFillShade="E6"/>
            <w:noWrap/>
            <w:vAlign w:val="center"/>
          </w:tcPr>
          <w:p>
            <w:pPr>
              <w:pageBreakBefore w:val="0"/>
              <w:widowControl/>
              <w:kinsoku/>
              <w:wordWrap/>
              <w:overflowPunct/>
              <w:topLinePunct w:val="0"/>
              <w:autoSpaceDE/>
              <w:autoSpaceDN/>
              <w:bidi w:val="0"/>
              <w:spacing w:line="560" w:lineRule="exact"/>
              <w:jc w:val="center"/>
              <w:textAlignment w:val="auto"/>
              <w:rPr>
                <w:rFonts w:cs="Arial" w:asciiTheme="minorEastAsia" w:hAnsiTheme="minorEastAsia" w:eastAsiaTheme="minorEastAsia"/>
                <w:b/>
                <w:color w:val="auto"/>
                <w:kern w:val="0"/>
                <w:sz w:val="24"/>
              </w:rPr>
            </w:pPr>
            <w:r>
              <w:rPr>
                <w:rFonts w:hint="eastAsia" w:cs="Arial" w:asciiTheme="minorEastAsia" w:hAnsiTheme="minorEastAsia" w:eastAsiaTheme="minorEastAsia"/>
                <w:b/>
                <w:color w:val="auto"/>
                <w:kern w:val="0"/>
                <w:sz w:val="24"/>
              </w:rPr>
              <w:t>年初预算数</w:t>
            </w:r>
          </w:p>
        </w:tc>
        <w:tc>
          <w:tcPr>
            <w:tcW w:w="823" w:type="pct"/>
            <w:tcBorders>
              <w:top w:val="single" w:color="auto" w:sz="4" w:space="0"/>
              <w:left w:val="nil"/>
              <w:bottom w:val="single" w:color="auto" w:sz="4" w:space="0"/>
              <w:right w:val="single" w:color="auto" w:sz="4" w:space="0"/>
            </w:tcBorders>
            <w:shd w:val="clear" w:color="auto" w:fill="D0CECE" w:themeFill="background2" w:themeFillShade="E6"/>
            <w:noWrap/>
            <w:vAlign w:val="center"/>
          </w:tcPr>
          <w:p>
            <w:pPr>
              <w:pageBreakBefore w:val="0"/>
              <w:widowControl/>
              <w:kinsoku/>
              <w:wordWrap/>
              <w:overflowPunct/>
              <w:topLinePunct w:val="0"/>
              <w:autoSpaceDE/>
              <w:autoSpaceDN/>
              <w:bidi w:val="0"/>
              <w:spacing w:line="560" w:lineRule="exact"/>
              <w:jc w:val="center"/>
              <w:textAlignment w:val="auto"/>
              <w:rPr>
                <w:rFonts w:cs="Arial" w:asciiTheme="minorEastAsia" w:hAnsiTheme="minorEastAsia" w:eastAsiaTheme="minorEastAsia"/>
                <w:b/>
                <w:color w:val="auto"/>
                <w:kern w:val="0"/>
                <w:sz w:val="24"/>
              </w:rPr>
            </w:pPr>
            <w:r>
              <w:rPr>
                <w:rFonts w:hint="eastAsia" w:cs="Arial" w:asciiTheme="minorEastAsia" w:hAnsiTheme="minorEastAsia" w:eastAsiaTheme="minorEastAsia"/>
                <w:b/>
                <w:color w:val="auto"/>
                <w:kern w:val="0"/>
                <w:sz w:val="24"/>
              </w:rPr>
              <w:t>决算数</w:t>
            </w:r>
          </w:p>
        </w:tc>
        <w:tc>
          <w:tcPr>
            <w:tcW w:w="905" w:type="pct"/>
            <w:tcBorders>
              <w:top w:val="single" w:color="auto" w:sz="4" w:space="0"/>
              <w:left w:val="nil"/>
              <w:bottom w:val="single" w:color="auto" w:sz="4" w:space="0"/>
              <w:right w:val="single" w:color="auto" w:sz="4" w:space="0"/>
            </w:tcBorders>
            <w:shd w:val="clear" w:color="auto" w:fill="D0CECE" w:themeFill="background2" w:themeFillShade="E6"/>
            <w:noWrap/>
            <w:vAlign w:val="center"/>
          </w:tcPr>
          <w:p>
            <w:pPr>
              <w:pageBreakBefore w:val="0"/>
              <w:widowControl/>
              <w:kinsoku/>
              <w:wordWrap/>
              <w:overflowPunct/>
              <w:topLinePunct w:val="0"/>
              <w:autoSpaceDE/>
              <w:autoSpaceDN/>
              <w:bidi w:val="0"/>
              <w:spacing w:line="560" w:lineRule="exact"/>
              <w:jc w:val="center"/>
              <w:textAlignment w:val="auto"/>
              <w:rPr>
                <w:rFonts w:cs="Arial" w:asciiTheme="minorEastAsia" w:hAnsiTheme="minorEastAsia" w:eastAsiaTheme="minorEastAsia"/>
                <w:b/>
                <w:color w:val="auto"/>
                <w:kern w:val="0"/>
                <w:sz w:val="24"/>
              </w:rPr>
            </w:pPr>
            <w:r>
              <w:rPr>
                <w:rFonts w:hint="eastAsia" w:cs="Arial" w:asciiTheme="minorEastAsia" w:hAnsiTheme="minorEastAsia" w:eastAsiaTheme="minorEastAsia"/>
                <w:b/>
                <w:color w:val="auto"/>
                <w:kern w:val="0"/>
                <w:sz w:val="24"/>
              </w:rPr>
              <w:t>决算数比预算数增减</w:t>
            </w:r>
          </w:p>
        </w:tc>
        <w:tc>
          <w:tcPr>
            <w:tcW w:w="823" w:type="pct"/>
            <w:tcBorders>
              <w:top w:val="single" w:color="auto" w:sz="4" w:space="0"/>
              <w:left w:val="nil"/>
              <w:bottom w:val="single" w:color="auto" w:sz="4" w:space="0"/>
              <w:right w:val="single" w:color="auto" w:sz="4" w:space="0"/>
            </w:tcBorders>
            <w:shd w:val="clear" w:color="auto" w:fill="D0CECE" w:themeFill="background2" w:themeFillShade="E6"/>
            <w:noWrap/>
            <w:vAlign w:val="center"/>
          </w:tcPr>
          <w:p>
            <w:pPr>
              <w:pageBreakBefore w:val="0"/>
              <w:widowControl/>
              <w:kinsoku/>
              <w:wordWrap/>
              <w:overflowPunct/>
              <w:topLinePunct w:val="0"/>
              <w:autoSpaceDE/>
              <w:autoSpaceDN/>
              <w:bidi w:val="0"/>
              <w:spacing w:line="560" w:lineRule="exact"/>
              <w:jc w:val="center"/>
              <w:textAlignment w:val="auto"/>
              <w:rPr>
                <w:rFonts w:cs="Arial" w:asciiTheme="minorEastAsia" w:hAnsiTheme="minorEastAsia" w:eastAsiaTheme="minorEastAsia"/>
                <w:b/>
                <w:color w:val="auto"/>
                <w:kern w:val="0"/>
                <w:sz w:val="24"/>
              </w:rPr>
            </w:pPr>
            <w:r>
              <w:rPr>
                <w:rFonts w:hint="eastAsia" w:cs="Arial" w:asciiTheme="minorEastAsia" w:hAnsiTheme="minorEastAsia" w:eastAsiaTheme="minorEastAsia"/>
                <w:b/>
                <w:color w:val="auto"/>
                <w:kern w:val="0"/>
                <w:sz w:val="24"/>
              </w:rPr>
              <w:t>增减</w:t>
            </w:r>
            <w:r>
              <w:rPr>
                <w:rFonts w:cs="Arial" w:asciiTheme="minorEastAsia" w:hAnsiTheme="minorEastAsia" w:eastAsiaTheme="minorEastAsia"/>
                <w:b/>
                <w:color w:val="auto"/>
                <w:kern w:val="0"/>
                <w:sz w:val="24"/>
              </w:rPr>
              <w:t>%</w:t>
            </w:r>
          </w:p>
        </w:tc>
      </w:tr>
      <w:tr>
        <w:tblPrEx>
          <w:tblCellMar>
            <w:top w:w="0" w:type="dxa"/>
            <w:left w:w="108" w:type="dxa"/>
            <w:bottom w:w="0" w:type="dxa"/>
            <w:right w:w="108" w:type="dxa"/>
          </w:tblCellMar>
        </w:tblPrEx>
        <w:trPr>
          <w:trHeight w:val="567" w:hRule="atLeast"/>
        </w:trPr>
        <w:tc>
          <w:tcPr>
            <w:tcW w:w="1462" w:type="pct"/>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r>
              <w:rPr>
                <w:rFonts w:hint="eastAsia" w:cs="Arial" w:asciiTheme="minorEastAsia" w:hAnsiTheme="minorEastAsia" w:eastAsiaTheme="minorEastAsia"/>
                <w:color w:val="auto"/>
                <w:kern w:val="0"/>
                <w:sz w:val="24"/>
              </w:rPr>
              <w:t>一般公共服务支出</w:t>
            </w:r>
          </w:p>
        </w:tc>
        <w:tc>
          <w:tcPr>
            <w:tcW w:w="987" w:type="pct"/>
            <w:tcBorders>
              <w:top w:val="nil"/>
              <w:left w:val="nil"/>
              <w:bottom w:val="single" w:color="auto" w:sz="4" w:space="0"/>
              <w:right w:val="single" w:color="auto" w:sz="4" w:space="0"/>
            </w:tcBorders>
            <w:shd w:val="clear" w:color="auto" w:fill="auto"/>
            <w:noWrap/>
          </w:tcPr>
          <w:p>
            <w:pPr>
              <w:pageBreakBefore w:val="0"/>
              <w:kinsoku/>
              <w:wordWrap/>
              <w:overflowPunct/>
              <w:topLinePunct w:val="0"/>
              <w:autoSpaceDE/>
              <w:autoSpaceDN/>
              <w:bidi w:val="0"/>
              <w:spacing w:line="560" w:lineRule="exact"/>
              <w:jc w:val="right"/>
              <w:textAlignment w:val="auto"/>
              <w:rPr>
                <w:rFonts w:asciiTheme="minorEastAsia" w:hAnsiTheme="minorEastAsia" w:eastAsiaTheme="minorEastAsia"/>
                <w:color w:val="auto"/>
                <w:sz w:val="24"/>
              </w:rPr>
            </w:pPr>
            <w:r>
              <w:rPr>
                <w:rFonts w:asciiTheme="minorEastAsia" w:hAnsiTheme="minorEastAsia" w:eastAsiaTheme="minorEastAsia"/>
                <w:color w:val="auto"/>
                <w:sz w:val="24"/>
              </w:rPr>
              <w:t>13576.79</w:t>
            </w:r>
          </w:p>
        </w:tc>
        <w:tc>
          <w:tcPr>
            <w:tcW w:w="823" w:type="pct"/>
            <w:tcBorders>
              <w:top w:val="nil"/>
              <w:left w:val="nil"/>
              <w:bottom w:val="single" w:color="auto" w:sz="4" w:space="0"/>
              <w:right w:val="single" w:color="auto" w:sz="4" w:space="0"/>
            </w:tcBorders>
            <w:shd w:val="clear" w:color="auto" w:fill="auto"/>
            <w:noWrap/>
          </w:tcPr>
          <w:p>
            <w:pPr>
              <w:pageBreakBefore w:val="0"/>
              <w:kinsoku/>
              <w:wordWrap/>
              <w:overflowPunct/>
              <w:topLinePunct w:val="0"/>
              <w:autoSpaceDE/>
              <w:autoSpaceDN/>
              <w:bidi w:val="0"/>
              <w:spacing w:line="560" w:lineRule="exact"/>
              <w:jc w:val="right"/>
              <w:textAlignment w:val="auto"/>
              <w:rPr>
                <w:rFonts w:asciiTheme="minorEastAsia" w:hAnsiTheme="minorEastAsia" w:eastAsiaTheme="minorEastAsia"/>
                <w:color w:val="auto"/>
                <w:sz w:val="24"/>
              </w:rPr>
            </w:pPr>
            <w:r>
              <w:rPr>
                <w:rFonts w:asciiTheme="minorEastAsia" w:hAnsiTheme="minorEastAsia" w:eastAsiaTheme="minorEastAsia"/>
                <w:color w:val="auto"/>
                <w:sz w:val="24"/>
              </w:rPr>
              <w:t>11731.41</w:t>
            </w:r>
          </w:p>
        </w:tc>
        <w:tc>
          <w:tcPr>
            <w:tcW w:w="905" w:type="pct"/>
            <w:tcBorders>
              <w:top w:val="nil"/>
              <w:left w:val="nil"/>
              <w:bottom w:val="single" w:color="auto" w:sz="4" w:space="0"/>
              <w:right w:val="single" w:color="auto" w:sz="4" w:space="0"/>
            </w:tcBorders>
            <w:shd w:val="clear" w:color="auto" w:fill="auto"/>
            <w:noWrap/>
            <w:vAlign w:val="center"/>
          </w:tcPr>
          <w:p>
            <w:pPr>
              <w:pageBreakBefore w:val="0"/>
              <w:kinsoku/>
              <w:wordWrap/>
              <w:overflowPunct/>
              <w:topLinePunct w:val="0"/>
              <w:autoSpaceDE/>
              <w:autoSpaceDN/>
              <w:bidi w:val="0"/>
              <w:spacing w:line="560" w:lineRule="exact"/>
              <w:jc w:val="right"/>
              <w:textAlignment w:val="auto"/>
              <w:rPr>
                <w:rFonts w:cs="宋体" w:asciiTheme="minorEastAsia" w:hAnsiTheme="minorEastAsia" w:eastAsiaTheme="minorEastAsia"/>
                <w:color w:val="auto"/>
                <w:sz w:val="24"/>
              </w:rPr>
            </w:pPr>
            <w:r>
              <w:rPr>
                <w:rFonts w:asciiTheme="minorEastAsia" w:hAnsiTheme="minorEastAsia" w:eastAsiaTheme="minorEastAsia"/>
                <w:color w:val="auto"/>
                <w:sz w:val="24"/>
              </w:rPr>
              <w:t>-1845.38</w:t>
            </w:r>
          </w:p>
        </w:tc>
        <w:tc>
          <w:tcPr>
            <w:tcW w:w="1418" w:type="dxa"/>
            <w:tcBorders>
              <w:top w:val="nil"/>
              <w:left w:val="nil"/>
              <w:bottom w:val="single" w:color="auto" w:sz="4" w:space="0"/>
              <w:right w:val="single" w:color="auto" w:sz="4" w:space="0"/>
            </w:tcBorders>
            <w:shd w:val="clear" w:color="auto" w:fill="auto"/>
            <w:noWrap/>
            <w:vAlign w:val="center"/>
          </w:tcPr>
          <w:p>
            <w:pPr>
              <w:spacing w:line="360" w:lineRule="exact"/>
              <w:jc w:val="right"/>
              <w:rPr>
                <w:rFonts w:cs="宋体" w:asciiTheme="minorEastAsia" w:hAnsiTheme="minorEastAsia" w:eastAsiaTheme="minorEastAsia"/>
                <w:color w:val="auto"/>
                <w:sz w:val="24"/>
              </w:rPr>
            </w:pPr>
            <w:r>
              <w:rPr>
                <w:rFonts w:asciiTheme="minorEastAsia" w:hAnsiTheme="minorEastAsia" w:eastAsiaTheme="minorEastAsia"/>
                <w:color w:val="auto"/>
                <w:sz w:val="24"/>
              </w:rPr>
              <w:t>-13.59%</w:t>
            </w:r>
          </w:p>
        </w:tc>
      </w:tr>
      <w:tr>
        <w:tblPrEx>
          <w:tblCellMar>
            <w:top w:w="0" w:type="dxa"/>
            <w:left w:w="108" w:type="dxa"/>
            <w:bottom w:w="0" w:type="dxa"/>
            <w:right w:w="108" w:type="dxa"/>
          </w:tblCellMar>
        </w:tblPrEx>
        <w:trPr>
          <w:trHeight w:val="567" w:hRule="atLeast"/>
        </w:trPr>
        <w:tc>
          <w:tcPr>
            <w:tcW w:w="1462" w:type="pct"/>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r>
              <w:rPr>
                <w:rFonts w:hint="eastAsia" w:cs="Arial" w:asciiTheme="minorEastAsia" w:hAnsiTheme="minorEastAsia" w:eastAsiaTheme="minorEastAsia"/>
                <w:color w:val="auto"/>
                <w:kern w:val="0"/>
                <w:sz w:val="24"/>
              </w:rPr>
              <w:t>教育支出</w:t>
            </w:r>
          </w:p>
        </w:tc>
        <w:tc>
          <w:tcPr>
            <w:tcW w:w="987" w:type="pct"/>
            <w:tcBorders>
              <w:top w:val="nil"/>
              <w:left w:val="nil"/>
              <w:bottom w:val="single" w:color="auto" w:sz="4" w:space="0"/>
              <w:right w:val="single" w:color="auto" w:sz="4" w:space="0"/>
            </w:tcBorders>
            <w:shd w:val="clear" w:color="auto" w:fill="auto"/>
            <w:noWrap/>
          </w:tcPr>
          <w:p>
            <w:pPr>
              <w:pageBreakBefore w:val="0"/>
              <w:kinsoku/>
              <w:wordWrap/>
              <w:overflowPunct/>
              <w:topLinePunct w:val="0"/>
              <w:autoSpaceDE/>
              <w:autoSpaceDN/>
              <w:bidi w:val="0"/>
              <w:spacing w:line="560" w:lineRule="exact"/>
              <w:jc w:val="right"/>
              <w:textAlignment w:val="auto"/>
              <w:rPr>
                <w:rFonts w:asciiTheme="minorEastAsia" w:hAnsiTheme="minorEastAsia" w:eastAsiaTheme="minorEastAsia"/>
                <w:color w:val="auto"/>
                <w:sz w:val="24"/>
              </w:rPr>
            </w:pPr>
            <w:r>
              <w:rPr>
                <w:rFonts w:asciiTheme="minorEastAsia" w:hAnsiTheme="minorEastAsia" w:eastAsiaTheme="minorEastAsia"/>
                <w:color w:val="auto"/>
                <w:sz w:val="24"/>
              </w:rPr>
              <w:t>13.85</w:t>
            </w:r>
          </w:p>
        </w:tc>
        <w:tc>
          <w:tcPr>
            <w:tcW w:w="823" w:type="pct"/>
            <w:tcBorders>
              <w:top w:val="nil"/>
              <w:left w:val="nil"/>
              <w:bottom w:val="single" w:color="auto" w:sz="4" w:space="0"/>
              <w:right w:val="single" w:color="auto" w:sz="4" w:space="0"/>
            </w:tcBorders>
            <w:shd w:val="clear" w:color="auto" w:fill="auto"/>
            <w:noWrap/>
          </w:tcPr>
          <w:p>
            <w:pPr>
              <w:pageBreakBefore w:val="0"/>
              <w:kinsoku/>
              <w:wordWrap/>
              <w:overflowPunct/>
              <w:topLinePunct w:val="0"/>
              <w:autoSpaceDE/>
              <w:autoSpaceDN/>
              <w:bidi w:val="0"/>
              <w:spacing w:line="560" w:lineRule="exact"/>
              <w:jc w:val="right"/>
              <w:textAlignment w:val="auto"/>
              <w:rPr>
                <w:rFonts w:asciiTheme="minorEastAsia" w:hAnsiTheme="minorEastAsia" w:eastAsiaTheme="minorEastAsia"/>
                <w:color w:val="auto"/>
                <w:sz w:val="24"/>
              </w:rPr>
            </w:pPr>
            <w:r>
              <w:rPr>
                <w:rFonts w:asciiTheme="minorEastAsia" w:hAnsiTheme="minorEastAsia" w:eastAsiaTheme="minorEastAsia"/>
                <w:color w:val="auto"/>
                <w:sz w:val="24"/>
              </w:rPr>
              <w:t>2.61</w:t>
            </w:r>
          </w:p>
        </w:tc>
        <w:tc>
          <w:tcPr>
            <w:tcW w:w="905" w:type="pct"/>
            <w:tcBorders>
              <w:top w:val="nil"/>
              <w:left w:val="nil"/>
              <w:bottom w:val="single" w:color="auto" w:sz="4" w:space="0"/>
              <w:right w:val="single" w:color="auto" w:sz="4" w:space="0"/>
            </w:tcBorders>
            <w:shd w:val="clear" w:color="auto" w:fill="auto"/>
            <w:noWrap/>
            <w:vAlign w:val="center"/>
          </w:tcPr>
          <w:p>
            <w:pPr>
              <w:pageBreakBefore w:val="0"/>
              <w:kinsoku/>
              <w:wordWrap/>
              <w:overflowPunct/>
              <w:topLinePunct w:val="0"/>
              <w:autoSpaceDE/>
              <w:autoSpaceDN/>
              <w:bidi w:val="0"/>
              <w:spacing w:line="560" w:lineRule="exact"/>
              <w:jc w:val="right"/>
              <w:textAlignment w:val="auto"/>
              <w:rPr>
                <w:rFonts w:cs="宋体" w:asciiTheme="minorEastAsia" w:hAnsiTheme="minorEastAsia" w:eastAsiaTheme="minorEastAsia"/>
                <w:color w:val="auto"/>
                <w:sz w:val="24"/>
              </w:rPr>
            </w:pPr>
            <w:r>
              <w:rPr>
                <w:rFonts w:asciiTheme="minorEastAsia" w:hAnsiTheme="minorEastAsia" w:eastAsiaTheme="minorEastAsia"/>
                <w:color w:val="auto"/>
                <w:sz w:val="24"/>
              </w:rPr>
              <w:t>-11.24</w:t>
            </w:r>
          </w:p>
        </w:tc>
        <w:tc>
          <w:tcPr>
            <w:tcW w:w="1418" w:type="dxa"/>
            <w:tcBorders>
              <w:top w:val="nil"/>
              <w:left w:val="nil"/>
              <w:bottom w:val="single" w:color="auto" w:sz="4" w:space="0"/>
              <w:right w:val="single" w:color="auto" w:sz="4" w:space="0"/>
            </w:tcBorders>
            <w:shd w:val="clear" w:color="auto" w:fill="auto"/>
            <w:noWrap/>
            <w:vAlign w:val="center"/>
          </w:tcPr>
          <w:p>
            <w:pPr>
              <w:spacing w:line="360" w:lineRule="exact"/>
              <w:jc w:val="right"/>
              <w:rPr>
                <w:rFonts w:cs="宋体" w:asciiTheme="minorEastAsia" w:hAnsiTheme="minorEastAsia" w:eastAsiaTheme="minorEastAsia"/>
                <w:color w:val="auto"/>
                <w:sz w:val="24"/>
              </w:rPr>
            </w:pPr>
            <w:r>
              <w:rPr>
                <w:rFonts w:asciiTheme="minorEastAsia" w:hAnsiTheme="minorEastAsia" w:eastAsiaTheme="minorEastAsia"/>
                <w:color w:val="auto"/>
                <w:sz w:val="24"/>
              </w:rPr>
              <w:t>-81.1</w:t>
            </w:r>
            <w:r>
              <w:rPr>
                <w:rFonts w:hint="eastAsia" w:asciiTheme="minorEastAsia" w:hAnsiTheme="minorEastAsia" w:eastAsiaTheme="minorEastAsia"/>
                <w:color w:val="auto"/>
                <w:sz w:val="24"/>
                <w:lang w:val="en-US" w:eastAsia="zh-CN"/>
              </w:rPr>
              <w:t>5</w:t>
            </w:r>
            <w:r>
              <w:rPr>
                <w:rFonts w:asciiTheme="minorEastAsia" w:hAnsiTheme="minorEastAsia" w:eastAsiaTheme="minorEastAsia"/>
                <w:color w:val="auto"/>
                <w:sz w:val="24"/>
              </w:rPr>
              <w:t>%</w:t>
            </w:r>
          </w:p>
        </w:tc>
      </w:tr>
      <w:tr>
        <w:tblPrEx>
          <w:tblCellMar>
            <w:top w:w="0" w:type="dxa"/>
            <w:left w:w="108" w:type="dxa"/>
            <w:bottom w:w="0" w:type="dxa"/>
            <w:right w:w="108" w:type="dxa"/>
          </w:tblCellMar>
        </w:tblPrEx>
        <w:trPr>
          <w:trHeight w:val="567" w:hRule="atLeast"/>
        </w:trPr>
        <w:tc>
          <w:tcPr>
            <w:tcW w:w="1462" w:type="pct"/>
            <w:tcBorders>
              <w:top w:val="single" w:color="auto" w:sz="4" w:space="0"/>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r>
              <w:rPr>
                <w:rFonts w:hint="eastAsia" w:cs="Arial" w:asciiTheme="minorEastAsia" w:hAnsiTheme="minorEastAsia" w:eastAsiaTheme="minorEastAsia"/>
                <w:color w:val="auto"/>
                <w:kern w:val="0"/>
                <w:sz w:val="24"/>
              </w:rPr>
              <w:t>科学技术支出</w:t>
            </w:r>
          </w:p>
        </w:tc>
        <w:tc>
          <w:tcPr>
            <w:tcW w:w="987" w:type="pct"/>
            <w:tcBorders>
              <w:top w:val="single" w:color="auto" w:sz="4" w:space="0"/>
              <w:left w:val="nil"/>
              <w:bottom w:val="single" w:color="auto" w:sz="4" w:space="0"/>
              <w:right w:val="single" w:color="auto" w:sz="4" w:space="0"/>
            </w:tcBorders>
            <w:shd w:val="clear" w:color="auto" w:fill="auto"/>
            <w:noWrap/>
          </w:tcPr>
          <w:p>
            <w:pPr>
              <w:pageBreakBefore w:val="0"/>
              <w:kinsoku/>
              <w:wordWrap/>
              <w:overflowPunct/>
              <w:topLinePunct w:val="0"/>
              <w:autoSpaceDE/>
              <w:autoSpaceDN/>
              <w:bidi w:val="0"/>
              <w:spacing w:line="560" w:lineRule="exact"/>
              <w:jc w:val="right"/>
              <w:textAlignment w:val="auto"/>
              <w:rPr>
                <w:rFonts w:asciiTheme="minorEastAsia" w:hAnsiTheme="minorEastAsia" w:eastAsiaTheme="minorEastAsia"/>
                <w:color w:val="auto"/>
                <w:sz w:val="24"/>
              </w:rPr>
            </w:pPr>
            <w:r>
              <w:rPr>
                <w:rFonts w:asciiTheme="minorEastAsia" w:hAnsiTheme="minorEastAsia" w:eastAsiaTheme="minorEastAsia"/>
                <w:color w:val="auto"/>
                <w:sz w:val="24"/>
              </w:rPr>
              <w:t>0.00</w:t>
            </w:r>
          </w:p>
        </w:tc>
        <w:tc>
          <w:tcPr>
            <w:tcW w:w="823" w:type="pct"/>
            <w:tcBorders>
              <w:top w:val="single" w:color="auto" w:sz="4" w:space="0"/>
              <w:left w:val="nil"/>
              <w:bottom w:val="single" w:color="auto" w:sz="4" w:space="0"/>
              <w:right w:val="single" w:color="auto" w:sz="4" w:space="0"/>
            </w:tcBorders>
            <w:shd w:val="clear" w:color="auto" w:fill="auto"/>
            <w:noWrap/>
          </w:tcPr>
          <w:p>
            <w:pPr>
              <w:pageBreakBefore w:val="0"/>
              <w:kinsoku/>
              <w:wordWrap/>
              <w:overflowPunct/>
              <w:topLinePunct w:val="0"/>
              <w:autoSpaceDE/>
              <w:autoSpaceDN/>
              <w:bidi w:val="0"/>
              <w:spacing w:line="560" w:lineRule="exact"/>
              <w:jc w:val="right"/>
              <w:textAlignment w:val="auto"/>
              <w:rPr>
                <w:rFonts w:asciiTheme="minorEastAsia" w:hAnsiTheme="minorEastAsia" w:eastAsiaTheme="minorEastAsia"/>
                <w:color w:val="auto"/>
                <w:sz w:val="24"/>
              </w:rPr>
            </w:pPr>
            <w:r>
              <w:rPr>
                <w:rFonts w:asciiTheme="minorEastAsia" w:hAnsiTheme="minorEastAsia" w:eastAsiaTheme="minorEastAsia"/>
                <w:color w:val="auto"/>
                <w:sz w:val="24"/>
              </w:rPr>
              <w:t>134.70</w:t>
            </w:r>
          </w:p>
        </w:tc>
        <w:tc>
          <w:tcPr>
            <w:tcW w:w="905" w:type="pct"/>
            <w:tcBorders>
              <w:top w:val="single" w:color="auto" w:sz="4" w:space="0"/>
              <w:left w:val="nil"/>
              <w:bottom w:val="single" w:color="auto" w:sz="4" w:space="0"/>
              <w:right w:val="single" w:color="auto" w:sz="4" w:space="0"/>
            </w:tcBorders>
            <w:shd w:val="clear" w:color="auto" w:fill="auto"/>
            <w:noWrap/>
            <w:vAlign w:val="center"/>
          </w:tcPr>
          <w:p>
            <w:pPr>
              <w:pageBreakBefore w:val="0"/>
              <w:kinsoku/>
              <w:wordWrap/>
              <w:overflowPunct/>
              <w:topLinePunct w:val="0"/>
              <w:autoSpaceDE/>
              <w:autoSpaceDN/>
              <w:bidi w:val="0"/>
              <w:spacing w:line="560" w:lineRule="exact"/>
              <w:jc w:val="right"/>
              <w:textAlignment w:val="auto"/>
              <w:rPr>
                <w:rFonts w:cs="宋体" w:asciiTheme="minorEastAsia" w:hAnsiTheme="minorEastAsia" w:eastAsiaTheme="minorEastAsia"/>
                <w:color w:val="auto"/>
                <w:sz w:val="24"/>
              </w:rPr>
            </w:pPr>
            <w:r>
              <w:rPr>
                <w:rFonts w:asciiTheme="minorEastAsia" w:hAnsiTheme="minorEastAsia" w:eastAsiaTheme="minorEastAsia"/>
                <w:color w:val="auto"/>
                <w:sz w:val="24"/>
              </w:rPr>
              <w:t>134.70</w:t>
            </w:r>
          </w:p>
        </w:tc>
        <w:tc>
          <w:tcPr>
            <w:tcW w:w="1418" w:type="dxa"/>
            <w:tcBorders>
              <w:top w:val="single" w:color="auto" w:sz="4" w:space="0"/>
              <w:left w:val="nil"/>
              <w:bottom w:val="single" w:color="auto" w:sz="4" w:space="0"/>
              <w:right w:val="single" w:color="auto" w:sz="4" w:space="0"/>
            </w:tcBorders>
            <w:shd w:val="clear" w:color="auto" w:fill="auto"/>
            <w:noWrap/>
            <w:vAlign w:val="center"/>
          </w:tcPr>
          <w:p>
            <w:pPr>
              <w:spacing w:line="360" w:lineRule="exact"/>
              <w:jc w:val="right"/>
              <w:rPr>
                <w:rFonts w:cs="宋体" w:asciiTheme="minorEastAsia" w:hAnsiTheme="minorEastAsia" w:eastAsiaTheme="minorEastAsia"/>
                <w:color w:val="auto"/>
                <w:sz w:val="24"/>
              </w:rPr>
            </w:pPr>
            <w:r>
              <w:rPr>
                <w:rFonts w:asciiTheme="minorEastAsia" w:hAnsiTheme="minorEastAsia" w:eastAsiaTheme="minorEastAsia"/>
                <w:color w:val="auto"/>
                <w:sz w:val="18"/>
                <w:szCs w:val="18"/>
              </w:rPr>
              <w:t>年初预算为</w:t>
            </w:r>
            <w:r>
              <w:rPr>
                <w:rFonts w:hint="eastAsia" w:asciiTheme="minorEastAsia" w:hAnsiTheme="minorEastAsia" w:eastAsiaTheme="minorEastAsia"/>
                <w:color w:val="auto"/>
                <w:sz w:val="18"/>
                <w:szCs w:val="18"/>
              </w:rPr>
              <w:t>0</w:t>
            </w:r>
          </w:p>
        </w:tc>
      </w:tr>
      <w:tr>
        <w:tblPrEx>
          <w:tblCellMar>
            <w:top w:w="0" w:type="dxa"/>
            <w:left w:w="108" w:type="dxa"/>
            <w:bottom w:w="0" w:type="dxa"/>
            <w:right w:w="108" w:type="dxa"/>
          </w:tblCellMar>
        </w:tblPrEx>
        <w:trPr>
          <w:trHeight w:val="567" w:hRule="atLeast"/>
        </w:trPr>
        <w:tc>
          <w:tcPr>
            <w:tcW w:w="1462" w:type="pct"/>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r>
              <w:rPr>
                <w:rFonts w:hint="eastAsia" w:cs="Arial" w:asciiTheme="minorEastAsia" w:hAnsiTheme="minorEastAsia" w:eastAsiaTheme="minorEastAsia"/>
                <w:color w:val="auto"/>
                <w:kern w:val="0"/>
                <w:sz w:val="24"/>
              </w:rPr>
              <w:t>社会保障和就业支出</w:t>
            </w:r>
          </w:p>
        </w:tc>
        <w:tc>
          <w:tcPr>
            <w:tcW w:w="987" w:type="pct"/>
            <w:tcBorders>
              <w:top w:val="nil"/>
              <w:left w:val="nil"/>
              <w:bottom w:val="single" w:color="auto" w:sz="4" w:space="0"/>
              <w:right w:val="single" w:color="auto" w:sz="4" w:space="0"/>
            </w:tcBorders>
            <w:shd w:val="clear" w:color="auto" w:fill="auto"/>
            <w:noWrap/>
          </w:tcPr>
          <w:p>
            <w:pPr>
              <w:pageBreakBefore w:val="0"/>
              <w:kinsoku/>
              <w:wordWrap/>
              <w:overflowPunct/>
              <w:topLinePunct w:val="0"/>
              <w:autoSpaceDE/>
              <w:autoSpaceDN/>
              <w:bidi w:val="0"/>
              <w:spacing w:line="560" w:lineRule="exact"/>
              <w:jc w:val="right"/>
              <w:textAlignment w:val="auto"/>
              <w:rPr>
                <w:rFonts w:asciiTheme="minorEastAsia" w:hAnsiTheme="minorEastAsia" w:eastAsiaTheme="minorEastAsia"/>
                <w:color w:val="auto"/>
                <w:sz w:val="24"/>
              </w:rPr>
            </w:pPr>
            <w:r>
              <w:rPr>
                <w:rFonts w:asciiTheme="minorEastAsia" w:hAnsiTheme="minorEastAsia" w:eastAsiaTheme="minorEastAsia"/>
                <w:color w:val="auto"/>
                <w:sz w:val="24"/>
              </w:rPr>
              <w:t>1070.82</w:t>
            </w:r>
          </w:p>
        </w:tc>
        <w:tc>
          <w:tcPr>
            <w:tcW w:w="823" w:type="pct"/>
            <w:tcBorders>
              <w:top w:val="nil"/>
              <w:left w:val="nil"/>
              <w:bottom w:val="single" w:color="auto" w:sz="4" w:space="0"/>
              <w:right w:val="single" w:color="auto" w:sz="4" w:space="0"/>
            </w:tcBorders>
            <w:shd w:val="clear" w:color="auto" w:fill="auto"/>
            <w:noWrap/>
          </w:tcPr>
          <w:p>
            <w:pPr>
              <w:pageBreakBefore w:val="0"/>
              <w:kinsoku/>
              <w:wordWrap/>
              <w:overflowPunct/>
              <w:topLinePunct w:val="0"/>
              <w:autoSpaceDE/>
              <w:autoSpaceDN/>
              <w:bidi w:val="0"/>
              <w:spacing w:line="560" w:lineRule="exact"/>
              <w:jc w:val="right"/>
              <w:textAlignment w:val="auto"/>
              <w:rPr>
                <w:rFonts w:asciiTheme="minorEastAsia" w:hAnsiTheme="minorEastAsia" w:eastAsiaTheme="minorEastAsia"/>
                <w:color w:val="auto"/>
                <w:sz w:val="24"/>
              </w:rPr>
            </w:pPr>
            <w:r>
              <w:rPr>
                <w:rFonts w:asciiTheme="minorEastAsia" w:hAnsiTheme="minorEastAsia" w:eastAsiaTheme="minorEastAsia"/>
                <w:color w:val="auto"/>
                <w:sz w:val="24"/>
              </w:rPr>
              <w:t>906.85</w:t>
            </w:r>
          </w:p>
        </w:tc>
        <w:tc>
          <w:tcPr>
            <w:tcW w:w="905" w:type="pct"/>
            <w:tcBorders>
              <w:top w:val="nil"/>
              <w:left w:val="nil"/>
              <w:bottom w:val="single" w:color="auto" w:sz="4" w:space="0"/>
              <w:right w:val="single" w:color="auto" w:sz="4" w:space="0"/>
            </w:tcBorders>
            <w:shd w:val="clear" w:color="auto" w:fill="auto"/>
            <w:noWrap/>
            <w:vAlign w:val="center"/>
          </w:tcPr>
          <w:p>
            <w:pPr>
              <w:pageBreakBefore w:val="0"/>
              <w:kinsoku/>
              <w:wordWrap/>
              <w:overflowPunct/>
              <w:topLinePunct w:val="0"/>
              <w:autoSpaceDE/>
              <w:autoSpaceDN/>
              <w:bidi w:val="0"/>
              <w:spacing w:line="560" w:lineRule="exact"/>
              <w:jc w:val="right"/>
              <w:textAlignment w:val="auto"/>
              <w:rPr>
                <w:rFonts w:cs="宋体" w:asciiTheme="minorEastAsia" w:hAnsiTheme="minorEastAsia" w:eastAsiaTheme="minorEastAsia"/>
                <w:color w:val="auto"/>
                <w:sz w:val="24"/>
              </w:rPr>
            </w:pPr>
            <w:r>
              <w:rPr>
                <w:rFonts w:asciiTheme="minorEastAsia" w:hAnsiTheme="minorEastAsia" w:eastAsiaTheme="minorEastAsia"/>
                <w:color w:val="auto"/>
                <w:sz w:val="24"/>
              </w:rPr>
              <w:t>-163.97</w:t>
            </w:r>
          </w:p>
        </w:tc>
        <w:tc>
          <w:tcPr>
            <w:tcW w:w="1418" w:type="dxa"/>
            <w:tcBorders>
              <w:top w:val="nil"/>
              <w:left w:val="nil"/>
              <w:bottom w:val="single" w:color="auto" w:sz="4" w:space="0"/>
              <w:right w:val="single" w:color="auto" w:sz="4" w:space="0"/>
            </w:tcBorders>
            <w:shd w:val="clear" w:color="auto" w:fill="auto"/>
            <w:noWrap/>
            <w:vAlign w:val="center"/>
          </w:tcPr>
          <w:p>
            <w:pPr>
              <w:spacing w:line="360" w:lineRule="exact"/>
              <w:jc w:val="right"/>
              <w:rPr>
                <w:rFonts w:cs="宋体" w:asciiTheme="minorEastAsia" w:hAnsiTheme="minorEastAsia" w:eastAsiaTheme="minorEastAsia"/>
                <w:color w:val="auto"/>
                <w:sz w:val="24"/>
              </w:rPr>
            </w:pPr>
            <w:r>
              <w:rPr>
                <w:rFonts w:asciiTheme="minorEastAsia" w:hAnsiTheme="minorEastAsia" w:eastAsiaTheme="minorEastAsia"/>
                <w:color w:val="auto"/>
                <w:sz w:val="24"/>
              </w:rPr>
              <w:t>-15.31%</w:t>
            </w:r>
          </w:p>
        </w:tc>
      </w:tr>
      <w:tr>
        <w:tblPrEx>
          <w:tblCellMar>
            <w:top w:w="0" w:type="dxa"/>
            <w:left w:w="108" w:type="dxa"/>
            <w:bottom w:w="0" w:type="dxa"/>
            <w:right w:w="108" w:type="dxa"/>
          </w:tblCellMar>
        </w:tblPrEx>
        <w:trPr>
          <w:trHeight w:val="567" w:hRule="atLeast"/>
        </w:trPr>
        <w:tc>
          <w:tcPr>
            <w:tcW w:w="1462" w:type="pct"/>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r>
              <w:rPr>
                <w:rFonts w:hint="eastAsia" w:cs="Arial" w:asciiTheme="minorEastAsia" w:hAnsiTheme="minorEastAsia" w:eastAsiaTheme="minorEastAsia"/>
                <w:color w:val="auto"/>
                <w:kern w:val="0"/>
                <w:sz w:val="24"/>
              </w:rPr>
              <w:t>卫生健康支出</w:t>
            </w:r>
          </w:p>
        </w:tc>
        <w:tc>
          <w:tcPr>
            <w:tcW w:w="987" w:type="pct"/>
            <w:tcBorders>
              <w:top w:val="nil"/>
              <w:left w:val="nil"/>
              <w:bottom w:val="single" w:color="auto" w:sz="4" w:space="0"/>
              <w:right w:val="single" w:color="auto" w:sz="4" w:space="0"/>
            </w:tcBorders>
            <w:shd w:val="clear" w:color="auto" w:fill="auto"/>
            <w:noWrap/>
          </w:tcPr>
          <w:p>
            <w:pPr>
              <w:pageBreakBefore w:val="0"/>
              <w:kinsoku/>
              <w:wordWrap/>
              <w:overflowPunct/>
              <w:topLinePunct w:val="0"/>
              <w:autoSpaceDE/>
              <w:autoSpaceDN/>
              <w:bidi w:val="0"/>
              <w:spacing w:line="560" w:lineRule="exact"/>
              <w:jc w:val="right"/>
              <w:textAlignment w:val="auto"/>
              <w:rPr>
                <w:rFonts w:asciiTheme="minorEastAsia" w:hAnsiTheme="minorEastAsia" w:eastAsiaTheme="minorEastAsia"/>
                <w:color w:val="auto"/>
                <w:sz w:val="24"/>
              </w:rPr>
            </w:pPr>
            <w:r>
              <w:rPr>
                <w:rFonts w:asciiTheme="minorEastAsia" w:hAnsiTheme="minorEastAsia" w:eastAsiaTheme="minorEastAsia"/>
                <w:color w:val="auto"/>
                <w:sz w:val="24"/>
              </w:rPr>
              <w:t>801.74</w:t>
            </w:r>
          </w:p>
        </w:tc>
        <w:tc>
          <w:tcPr>
            <w:tcW w:w="823" w:type="pct"/>
            <w:tcBorders>
              <w:top w:val="nil"/>
              <w:left w:val="nil"/>
              <w:bottom w:val="single" w:color="auto" w:sz="4" w:space="0"/>
              <w:right w:val="single" w:color="auto" w:sz="4" w:space="0"/>
            </w:tcBorders>
            <w:shd w:val="clear" w:color="auto" w:fill="auto"/>
            <w:noWrap/>
          </w:tcPr>
          <w:p>
            <w:pPr>
              <w:pageBreakBefore w:val="0"/>
              <w:kinsoku/>
              <w:wordWrap/>
              <w:overflowPunct/>
              <w:topLinePunct w:val="0"/>
              <w:autoSpaceDE/>
              <w:autoSpaceDN/>
              <w:bidi w:val="0"/>
              <w:spacing w:line="560" w:lineRule="exact"/>
              <w:jc w:val="right"/>
              <w:textAlignment w:val="auto"/>
              <w:rPr>
                <w:rFonts w:asciiTheme="minorEastAsia" w:hAnsiTheme="minorEastAsia" w:eastAsiaTheme="minorEastAsia"/>
                <w:color w:val="auto"/>
                <w:sz w:val="24"/>
              </w:rPr>
            </w:pPr>
            <w:r>
              <w:rPr>
                <w:rFonts w:asciiTheme="minorEastAsia" w:hAnsiTheme="minorEastAsia" w:eastAsiaTheme="minorEastAsia"/>
                <w:color w:val="auto"/>
                <w:sz w:val="24"/>
              </w:rPr>
              <w:t>584.14</w:t>
            </w:r>
          </w:p>
        </w:tc>
        <w:tc>
          <w:tcPr>
            <w:tcW w:w="905" w:type="pct"/>
            <w:tcBorders>
              <w:top w:val="nil"/>
              <w:left w:val="nil"/>
              <w:bottom w:val="single" w:color="auto" w:sz="4" w:space="0"/>
              <w:right w:val="single" w:color="auto" w:sz="4" w:space="0"/>
            </w:tcBorders>
            <w:shd w:val="clear" w:color="auto" w:fill="auto"/>
            <w:noWrap/>
            <w:vAlign w:val="center"/>
          </w:tcPr>
          <w:p>
            <w:pPr>
              <w:pageBreakBefore w:val="0"/>
              <w:kinsoku/>
              <w:wordWrap/>
              <w:overflowPunct/>
              <w:topLinePunct w:val="0"/>
              <w:autoSpaceDE/>
              <w:autoSpaceDN/>
              <w:bidi w:val="0"/>
              <w:spacing w:line="560" w:lineRule="exact"/>
              <w:jc w:val="right"/>
              <w:textAlignment w:val="auto"/>
              <w:rPr>
                <w:rFonts w:cs="宋体" w:asciiTheme="minorEastAsia" w:hAnsiTheme="minorEastAsia" w:eastAsiaTheme="minorEastAsia"/>
                <w:color w:val="auto"/>
                <w:sz w:val="24"/>
              </w:rPr>
            </w:pPr>
            <w:r>
              <w:rPr>
                <w:rFonts w:asciiTheme="minorEastAsia" w:hAnsiTheme="minorEastAsia" w:eastAsiaTheme="minorEastAsia"/>
                <w:color w:val="auto"/>
                <w:sz w:val="24"/>
              </w:rPr>
              <w:t>-217.60</w:t>
            </w:r>
          </w:p>
        </w:tc>
        <w:tc>
          <w:tcPr>
            <w:tcW w:w="1418" w:type="dxa"/>
            <w:tcBorders>
              <w:top w:val="nil"/>
              <w:left w:val="nil"/>
              <w:bottom w:val="single" w:color="auto" w:sz="4" w:space="0"/>
              <w:right w:val="single" w:color="auto" w:sz="4" w:space="0"/>
            </w:tcBorders>
            <w:shd w:val="clear" w:color="auto" w:fill="auto"/>
            <w:noWrap/>
            <w:vAlign w:val="center"/>
          </w:tcPr>
          <w:p>
            <w:pPr>
              <w:spacing w:line="360" w:lineRule="exact"/>
              <w:jc w:val="right"/>
              <w:rPr>
                <w:rFonts w:cs="宋体" w:asciiTheme="minorEastAsia" w:hAnsiTheme="minorEastAsia" w:eastAsiaTheme="minorEastAsia"/>
                <w:color w:val="auto"/>
                <w:sz w:val="24"/>
              </w:rPr>
            </w:pPr>
            <w:r>
              <w:rPr>
                <w:rFonts w:asciiTheme="minorEastAsia" w:hAnsiTheme="minorEastAsia" w:eastAsiaTheme="minorEastAsia"/>
                <w:color w:val="auto"/>
                <w:sz w:val="24"/>
              </w:rPr>
              <w:t>-27.14%</w:t>
            </w:r>
          </w:p>
        </w:tc>
      </w:tr>
      <w:tr>
        <w:tblPrEx>
          <w:tblCellMar>
            <w:top w:w="0" w:type="dxa"/>
            <w:left w:w="108" w:type="dxa"/>
            <w:bottom w:w="0" w:type="dxa"/>
            <w:right w:w="108" w:type="dxa"/>
          </w:tblCellMar>
        </w:tblPrEx>
        <w:trPr>
          <w:trHeight w:val="567" w:hRule="atLeast"/>
        </w:trPr>
        <w:tc>
          <w:tcPr>
            <w:tcW w:w="1462" w:type="pct"/>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color w:val="auto"/>
                <w:kern w:val="0"/>
                <w:sz w:val="24"/>
              </w:rPr>
            </w:pPr>
            <w:r>
              <w:rPr>
                <w:rFonts w:hint="eastAsia" w:cs="Arial" w:asciiTheme="minorEastAsia" w:hAnsiTheme="minorEastAsia" w:eastAsiaTheme="minorEastAsia"/>
                <w:color w:val="auto"/>
                <w:kern w:val="0"/>
                <w:sz w:val="24"/>
              </w:rPr>
              <w:t>城乡社区支出</w:t>
            </w:r>
          </w:p>
        </w:tc>
        <w:tc>
          <w:tcPr>
            <w:tcW w:w="987" w:type="pct"/>
            <w:tcBorders>
              <w:top w:val="nil"/>
              <w:left w:val="nil"/>
              <w:bottom w:val="single" w:color="auto" w:sz="4" w:space="0"/>
              <w:right w:val="single" w:color="auto" w:sz="4" w:space="0"/>
            </w:tcBorders>
            <w:shd w:val="clear" w:color="auto" w:fill="auto"/>
            <w:noWrap/>
          </w:tcPr>
          <w:p>
            <w:pPr>
              <w:pageBreakBefore w:val="0"/>
              <w:kinsoku/>
              <w:wordWrap/>
              <w:overflowPunct/>
              <w:topLinePunct w:val="0"/>
              <w:autoSpaceDE/>
              <w:autoSpaceDN/>
              <w:bidi w:val="0"/>
              <w:spacing w:line="560" w:lineRule="exact"/>
              <w:jc w:val="right"/>
              <w:textAlignment w:val="auto"/>
              <w:rPr>
                <w:rFonts w:asciiTheme="minorEastAsia" w:hAnsiTheme="minorEastAsia" w:eastAsiaTheme="minorEastAsia"/>
                <w:color w:val="auto"/>
                <w:sz w:val="24"/>
              </w:rPr>
            </w:pPr>
            <w:r>
              <w:rPr>
                <w:rFonts w:asciiTheme="minorEastAsia" w:hAnsiTheme="minorEastAsia" w:eastAsiaTheme="minorEastAsia"/>
                <w:color w:val="auto"/>
                <w:sz w:val="24"/>
              </w:rPr>
              <w:t>14.36</w:t>
            </w:r>
          </w:p>
        </w:tc>
        <w:tc>
          <w:tcPr>
            <w:tcW w:w="823" w:type="pct"/>
            <w:tcBorders>
              <w:top w:val="nil"/>
              <w:left w:val="nil"/>
              <w:bottom w:val="single" w:color="auto" w:sz="4" w:space="0"/>
              <w:right w:val="single" w:color="auto" w:sz="4" w:space="0"/>
            </w:tcBorders>
            <w:shd w:val="clear" w:color="auto" w:fill="auto"/>
            <w:noWrap/>
          </w:tcPr>
          <w:p>
            <w:pPr>
              <w:pageBreakBefore w:val="0"/>
              <w:kinsoku/>
              <w:wordWrap/>
              <w:overflowPunct/>
              <w:topLinePunct w:val="0"/>
              <w:autoSpaceDE/>
              <w:autoSpaceDN/>
              <w:bidi w:val="0"/>
              <w:spacing w:line="560" w:lineRule="exact"/>
              <w:jc w:val="right"/>
              <w:textAlignment w:val="auto"/>
              <w:rPr>
                <w:rFonts w:asciiTheme="minorEastAsia" w:hAnsiTheme="minorEastAsia" w:eastAsiaTheme="minorEastAsia"/>
                <w:color w:val="auto"/>
                <w:sz w:val="24"/>
              </w:rPr>
            </w:pPr>
            <w:r>
              <w:rPr>
                <w:rFonts w:asciiTheme="minorEastAsia" w:hAnsiTheme="minorEastAsia" w:eastAsiaTheme="minorEastAsia"/>
                <w:color w:val="auto"/>
                <w:sz w:val="24"/>
              </w:rPr>
              <w:t>103.82</w:t>
            </w:r>
          </w:p>
        </w:tc>
        <w:tc>
          <w:tcPr>
            <w:tcW w:w="905" w:type="pct"/>
            <w:tcBorders>
              <w:top w:val="nil"/>
              <w:left w:val="nil"/>
              <w:bottom w:val="single" w:color="auto" w:sz="4" w:space="0"/>
              <w:right w:val="single" w:color="auto" w:sz="4" w:space="0"/>
            </w:tcBorders>
            <w:shd w:val="clear" w:color="auto" w:fill="auto"/>
            <w:noWrap/>
            <w:vAlign w:val="center"/>
          </w:tcPr>
          <w:p>
            <w:pPr>
              <w:pageBreakBefore w:val="0"/>
              <w:kinsoku/>
              <w:wordWrap/>
              <w:overflowPunct/>
              <w:topLinePunct w:val="0"/>
              <w:autoSpaceDE/>
              <w:autoSpaceDN/>
              <w:bidi w:val="0"/>
              <w:spacing w:line="560" w:lineRule="exact"/>
              <w:jc w:val="right"/>
              <w:textAlignment w:val="auto"/>
              <w:rPr>
                <w:rFonts w:cs="宋体" w:asciiTheme="minorEastAsia" w:hAnsiTheme="minorEastAsia" w:eastAsiaTheme="minorEastAsia"/>
                <w:color w:val="auto"/>
                <w:sz w:val="24"/>
              </w:rPr>
            </w:pPr>
            <w:r>
              <w:rPr>
                <w:rFonts w:asciiTheme="minorEastAsia" w:hAnsiTheme="minorEastAsia" w:eastAsiaTheme="minorEastAsia"/>
                <w:color w:val="auto"/>
                <w:sz w:val="24"/>
              </w:rPr>
              <w:t>89.46</w:t>
            </w:r>
          </w:p>
        </w:tc>
        <w:tc>
          <w:tcPr>
            <w:tcW w:w="1418" w:type="dxa"/>
            <w:tcBorders>
              <w:top w:val="nil"/>
              <w:left w:val="nil"/>
              <w:bottom w:val="single" w:color="auto" w:sz="4" w:space="0"/>
              <w:right w:val="single" w:color="auto" w:sz="4" w:space="0"/>
            </w:tcBorders>
            <w:shd w:val="clear" w:color="auto" w:fill="auto"/>
            <w:noWrap/>
            <w:vAlign w:val="center"/>
          </w:tcPr>
          <w:p>
            <w:pPr>
              <w:spacing w:line="360" w:lineRule="exact"/>
              <w:jc w:val="right"/>
              <w:rPr>
                <w:rFonts w:cs="宋体" w:asciiTheme="minorEastAsia" w:hAnsiTheme="minorEastAsia" w:eastAsiaTheme="minorEastAsia"/>
                <w:color w:val="auto"/>
                <w:sz w:val="24"/>
              </w:rPr>
            </w:pPr>
            <w:r>
              <w:rPr>
                <w:rFonts w:asciiTheme="minorEastAsia" w:hAnsiTheme="minorEastAsia" w:eastAsiaTheme="minorEastAsia"/>
                <w:color w:val="auto"/>
                <w:sz w:val="24"/>
              </w:rPr>
              <w:t>622.98%</w:t>
            </w:r>
          </w:p>
        </w:tc>
      </w:tr>
      <w:tr>
        <w:tblPrEx>
          <w:tblCellMar>
            <w:top w:w="0" w:type="dxa"/>
            <w:left w:w="108" w:type="dxa"/>
            <w:bottom w:w="0" w:type="dxa"/>
            <w:right w:w="108" w:type="dxa"/>
          </w:tblCellMar>
        </w:tblPrEx>
        <w:trPr>
          <w:trHeight w:val="567" w:hRule="atLeast"/>
        </w:trPr>
        <w:tc>
          <w:tcPr>
            <w:tcW w:w="1462" w:type="pct"/>
            <w:tcBorders>
              <w:top w:val="nil"/>
              <w:left w:val="single" w:color="auto" w:sz="4" w:space="0"/>
              <w:bottom w:val="single" w:color="auto" w:sz="4" w:space="0"/>
              <w:right w:val="single" w:color="auto" w:sz="4" w:space="0"/>
            </w:tcBorders>
            <w:shd w:val="clear" w:color="auto" w:fill="D0CECE" w:themeFill="background2" w:themeFillShade="E6"/>
            <w:noWrap/>
            <w:vAlign w:val="center"/>
          </w:tcPr>
          <w:p>
            <w:pPr>
              <w:pageBreakBefore w:val="0"/>
              <w:widowControl/>
              <w:kinsoku/>
              <w:wordWrap/>
              <w:overflowPunct/>
              <w:topLinePunct w:val="0"/>
              <w:autoSpaceDE/>
              <w:autoSpaceDN/>
              <w:bidi w:val="0"/>
              <w:spacing w:line="560" w:lineRule="exact"/>
              <w:jc w:val="left"/>
              <w:textAlignment w:val="auto"/>
              <w:rPr>
                <w:rFonts w:cs="Arial" w:asciiTheme="minorEastAsia" w:hAnsiTheme="minorEastAsia" w:eastAsiaTheme="minorEastAsia"/>
                <w:b/>
                <w:bCs/>
                <w:color w:val="auto"/>
                <w:kern w:val="0"/>
                <w:sz w:val="24"/>
              </w:rPr>
            </w:pPr>
            <w:r>
              <w:rPr>
                <w:rFonts w:hint="eastAsia" w:cs="Arial" w:asciiTheme="minorEastAsia" w:hAnsiTheme="minorEastAsia" w:eastAsiaTheme="minorEastAsia"/>
                <w:b/>
                <w:bCs/>
                <w:color w:val="auto"/>
                <w:kern w:val="0"/>
                <w:sz w:val="24"/>
              </w:rPr>
              <w:t>本年支出合计</w:t>
            </w:r>
          </w:p>
        </w:tc>
        <w:tc>
          <w:tcPr>
            <w:tcW w:w="987" w:type="pct"/>
            <w:tcBorders>
              <w:top w:val="nil"/>
              <w:left w:val="nil"/>
              <w:bottom w:val="single" w:color="auto" w:sz="4" w:space="0"/>
              <w:right w:val="single" w:color="auto" w:sz="4" w:space="0"/>
            </w:tcBorders>
            <w:shd w:val="clear" w:color="auto" w:fill="D0CECE" w:themeFill="background2" w:themeFillShade="E6"/>
            <w:noWrap/>
            <w:vAlign w:val="center"/>
          </w:tcPr>
          <w:p>
            <w:pPr>
              <w:pageBreakBefore w:val="0"/>
              <w:kinsoku/>
              <w:wordWrap/>
              <w:overflowPunct/>
              <w:topLinePunct w:val="0"/>
              <w:autoSpaceDE/>
              <w:autoSpaceDN/>
              <w:bidi w:val="0"/>
              <w:spacing w:line="560" w:lineRule="exact"/>
              <w:jc w:val="right"/>
              <w:textAlignment w:val="auto"/>
              <w:rPr>
                <w:rFonts w:cs="宋体" w:asciiTheme="minorEastAsia" w:hAnsiTheme="minorEastAsia" w:eastAsiaTheme="minorEastAsia"/>
                <w:color w:val="auto"/>
                <w:sz w:val="24"/>
              </w:rPr>
            </w:pPr>
            <w:r>
              <w:rPr>
                <w:rFonts w:asciiTheme="minorEastAsia" w:hAnsiTheme="minorEastAsia" w:eastAsiaTheme="minorEastAsia"/>
                <w:color w:val="auto"/>
                <w:sz w:val="24"/>
              </w:rPr>
              <w:t>15477.56</w:t>
            </w:r>
          </w:p>
        </w:tc>
        <w:tc>
          <w:tcPr>
            <w:tcW w:w="823" w:type="pct"/>
            <w:tcBorders>
              <w:top w:val="nil"/>
              <w:left w:val="nil"/>
              <w:bottom w:val="single" w:color="auto" w:sz="4" w:space="0"/>
              <w:right w:val="single" w:color="auto" w:sz="4" w:space="0"/>
            </w:tcBorders>
            <w:shd w:val="clear" w:color="auto" w:fill="D0CECE" w:themeFill="background2" w:themeFillShade="E6"/>
            <w:noWrap/>
            <w:vAlign w:val="center"/>
          </w:tcPr>
          <w:p>
            <w:pPr>
              <w:pageBreakBefore w:val="0"/>
              <w:kinsoku/>
              <w:wordWrap/>
              <w:overflowPunct/>
              <w:topLinePunct w:val="0"/>
              <w:autoSpaceDE/>
              <w:autoSpaceDN/>
              <w:bidi w:val="0"/>
              <w:spacing w:line="560" w:lineRule="exact"/>
              <w:jc w:val="right"/>
              <w:textAlignment w:val="auto"/>
              <w:rPr>
                <w:rFonts w:cs="宋体" w:asciiTheme="minorEastAsia" w:hAnsiTheme="minorEastAsia" w:eastAsiaTheme="minorEastAsia"/>
                <w:color w:val="auto"/>
                <w:sz w:val="24"/>
              </w:rPr>
            </w:pPr>
            <w:r>
              <w:rPr>
                <w:rFonts w:asciiTheme="minorEastAsia" w:hAnsiTheme="minorEastAsia" w:eastAsiaTheme="minorEastAsia"/>
                <w:color w:val="auto"/>
                <w:sz w:val="24"/>
              </w:rPr>
              <w:t>13463.53</w:t>
            </w:r>
          </w:p>
        </w:tc>
        <w:tc>
          <w:tcPr>
            <w:tcW w:w="905" w:type="pct"/>
            <w:tcBorders>
              <w:top w:val="nil"/>
              <w:left w:val="nil"/>
              <w:bottom w:val="single" w:color="auto" w:sz="4" w:space="0"/>
              <w:right w:val="single" w:color="auto" w:sz="4" w:space="0"/>
            </w:tcBorders>
            <w:shd w:val="clear" w:color="auto" w:fill="D0CECE" w:themeFill="background2" w:themeFillShade="E6"/>
            <w:noWrap/>
            <w:vAlign w:val="center"/>
          </w:tcPr>
          <w:p>
            <w:pPr>
              <w:pageBreakBefore w:val="0"/>
              <w:kinsoku/>
              <w:wordWrap/>
              <w:overflowPunct/>
              <w:topLinePunct w:val="0"/>
              <w:autoSpaceDE/>
              <w:autoSpaceDN/>
              <w:bidi w:val="0"/>
              <w:spacing w:line="560" w:lineRule="exact"/>
              <w:jc w:val="right"/>
              <w:textAlignment w:val="auto"/>
              <w:rPr>
                <w:rFonts w:cs="宋体" w:asciiTheme="minorEastAsia" w:hAnsiTheme="minorEastAsia" w:eastAsiaTheme="minorEastAsia"/>
                <w:color w:val="auto"/>
                <w:sz w:val="24"/>
              </w:rPr>
            </w:pPr>
            <w:r>
              <w:rPr>
                <w:rFonts w:asciiTheme="minorEastAsia" w:hAnsiTheme="minorEastAsia" w:eastAsiaTheme="minorEastAsia"/>
                <w:color w:val="auto"/>
                <w:sz w:val="24"/>
              </w:rPr>
              <w:t>-2014.03</w:t>
            </w:r>
          </w:p>
        </w:tc>
        <w:tc>
          <w:tcPr>
            <w:tcW w:w="1418" w:type="dxa"/>
            <w:tcBorders>
              <w:top w:val="nil"/>
              <w:left w:val="nil"/>
              <w:bottom w:val="single" w:color="auto" w:sz="4" w:space="0"/>
              <w:right w:val="single" w:color="auto" w:sz="4" w:space="0"/>
            </w:tcBorders>
            <w:shd w:val="clear" w:color="auto" w:fill="D0CECE" w:themeFill="background2" w:themeFillShade="E6"/>
            <w:noWrap/>
            <w:vAlign w:val="center"/>
          </w:tcPr>
          <w:p>
            <w:pPr>
              <w:spacing w:line="360" w:lineRule="exact"/>
              <w:jc w:val="right"/>
              <w:rPr>
                <w:rFonts w:cs="宋体" w:asciiTheme="minorEastAsia" w:hAnsiTheme="minorEastAsia" w:eastAsiaTheme="minorEastAsia"/>
                <w:color w:val="auto"/>
                <w:sz w:val="24"/>
              </w:rPr>
            </w:pPr>
            <w:r>
              <w:rPr>
                <w:rFonts w:asciiTheme="minorEastAsia" w:hAnsiTheme="minorEastAsia" w:eastAsiaTheme="minorEastAsia"/>
                <w:color w:val="auto"/>
                <w:sz w:val="24"/>
              </w:rPr>
              <w:t>-13.01%</w:t>
            </w:r>
          </w:p>
        </w:tc>
      </w:tr>
    </w:tbl>
    <w:p>
      <w:pPr>
        <w:pStyle w:val="3"/>
        <w:pageBreakBefore w:val="0"/>
        <w:kinsoku/>
        <w:wordWrap/>
        <w:overflowPunct/>
        <w:topLinePunct w:val="0"/>
        <w:autoSpaceDE/>
        <w:autoSpaceDN/>
        <w:bidi w:val="0"/>
        <w:spacing w:before="217" w:after="217" w:line="560" w:lineRule="exact"/>
        <w:ind w:left="0" w:leftChars="0" w:firstLine="640" w:firstLineChars="200"/>
        <w:textAlignment w:val="auto"/>
        <w:rPr>
          <w:color w:val="auto"/>
        </w:rPr>
      </w:pPr>
      <w:bookmarkStart w:id="19" w:name="_Toc135677310"/>
      <w:r>
        <w:rPr>
          <w:rFonts w:hint="eastAsia"/>
          <w:color w:val="auto"/>
        </w:rPr>
        <w:t>五、总体</w:t>
      </w:r>
      <w:r>
        <w:rPr>
          <w:color w:val="auto"/>
        </w:rPr>
        <w:t>评价结论</w:t>
      </w:r>
      <w:bookmarkEnd w:id="19"/>
    </w:p>
    <w:p>
      <w:pPr>
        <w:pStyle w:val="2"/>
        <w:pageBreakBefore w:val="0"/>
        <w:kinsoku/>
        <w:wordWrap/>
        <w:overflowPunct/>
        <w:topLinePunct w:val="0"/>
        <w:autoSpaceDE/>
        <w:autoSpaceDN/>
        <w:bidi w:val="0"/>
        <w:spacing w:line="560" w:lineRule="exact"/>
        <w:ind w:firstLine="643"/>
        <w:textAlignment w:val="auto"/>
        <w:rPr>
          <w:rFonts w:ascii="楷体" w:hAnsi="楷体"/>
          <w:color w:val="auto"/>
        </w:rPr>
      </w:pPr>
      <w:bookmarkStart w:id="20" w:name="_Toc135677311"/>
      <w:r>
        <w:rPr>
          <w:rFonts w:hint="eastAsia" w:ascii="楷体" w:hAnsi="楷体"/>
          <w:color w:val="auto"/>
        </w:rPr>
        <w:t>（一）评价得分情况</w:t>
      </w:r>
      <w:bookmarkEnd w:id="20"/>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经评价，2</w:t>
      </w:r>
      <w:r>
        <w:rPr>
          <w:rFonts w:ascii="仿宋_GB2312" w:hAnsi="宋体" w:eastAsia="仿宋_GB2312" w:cs="宋体"/>
          <w:color w:val="auto"/>
          <w:kern w:val="0"/>
          <w:sz w:val="32"/>
          <w:szCs w:val="32"/>
        </w:rPr>
        <w:t>022</w:t>
      </w:r>
      <w:r>
        <w:rPr>
          <w:rFonts w:hint="eastAsia" w:ascii="仿宋_GB2312" w:hAnsi="宋体" w:eastAsia="仿宋_GB2312" w:cs="宋体"/>
          <w:color w:val="auto"/>
          <w:kern w:val="0"/>
          <w:sz w:val="32"/>
          <w:szCs w:val="32"/>
        </w:rPr>
        <w:t>年度市政府外办预算执行情况较好，过程管理较为规范，产出、效益指标基本全部实现，部门整体支出绩效评价综合得分</w:t>
      </w:r>
      <w:r>
        <w:rPr>
          <w:rFonts w:ascii="仿宋_GB2312" w:hAnsi="宋体" w:eastAsia="仿宋_GB2312" w:cs="宋体"/>
          <w:color w:val="auto"/>
          <w:kern w:val="0"/>
          <w:sz w:val="32"/>
          <w:szCs w:val="32"/>
        </w:rPr>
        <w:t>94.9</w:t>
      </w:r>
      <w:r>
        <w:rPr>
          <w:rFonts w:hint="eastAsia" w:ascii="仿宋_GB2312" w:hAnsi="宋体" w:eastAsia="仿宋_GB2312" w:cs="宋体"/>
          <w:color w:val="auto"/>
          <w:kern w:val="0"/>
          <w:sz w:val="32"/>
          <w:szCs w:val="32"/>
        </w:rPr>
        <w:t>分，绩效评定结论为“优秀”。</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具体各指标得分情况如表</w:t>
      </w:r>
      <w:r>
        <w:rPr>
          <w:rFonts w:ascii="仿宋_GB2312" w:hAnsi="宋体" w:eastAsia="仿宋_GB2312" w:cs="宋体"/>
          <w:color w:val="auto"/>
          <w:kern w:val="0"/>
          <w:sz w:val="32"/>
          <w:szCs w:val="32"/>
        </w:rPr>
        <w:t>3</w:t>
      </w:r>
      <w:r>
        <w:rPr>
          <w:rFonts w:hint="eastAsia" w:ascii="仿宋_GB2312" w:hAnsi="宋体" w:eastAsia="仿宋_GB2312" w:cs="宋体"/>
          <w:color w:val="auto"/>
          <w:kern w:val="0"/>
          <w:sz w:val="32"/>
          <w:szCs w:val="32"/>
        </w:rPr>
        <w:t>所示。</w:t>
      </w:r>
    </w:p>
    <w:p>
      <w:pPr>
        <w:pStyle w:val="2"/>
      </w:pPr>
    </w:p>
    <w:p>
      <w:pPr>
        <w:pageBreakBefore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olor w:val="auto"/>
          <w:kern w:val="0"/>
          <w:sz w:val="28"/>
          <w:szCs w:val="28"/>
        </w:rPr>
      </w:pPr>
    </w:p>
    <w:p>
      <w:pPr>
        <w:pageBreakBefore w:val="0"/>
        <w:kinsoku/>
        <w:wordWrap/>
        <w:overflowPunct/>
        <w:topLinePunct w:val="0"/>
        <w:autoSpaceDE/>
        <w:autoSpaceDN/>
        <w:bidi w:val="0"/>
        <w:adjustRightInd w:val="0"/>
        <w:snapToGrid w:val="0"/>
        <w:spacing w:line="560" w:lineRule="exact"/>
        <w:jc w:val="center"/>
        <w:textAlignment w:val="auto"/>
        <w:rPr>
          <w:rFonts w:hint="eastAsia" w:ascii="仿宋" w:hAnsi="仿宋" w:eastAsia="仿宋"/>
          <w:color w:val="auto"/>
          <w:kern w:val="0"/>
          <w:sz w:val="28"/>
          <w:szCs w:val="28"/>
        </w:rPr>
      </w:pPr>
    </w:p>
    <w:p>
      <w:pPr>
        <w:pageBreakBefore w:val="0"/>
        <w:kinsoku/>
        <w:wordWrap/>
        <w:overflowPunct/>
        <w:topLinePunct w:val="0"/>
        <w:autoSpaceDE/>
        <w:autoSpaceDN/>
        <w:bidi w:val="0"/>
        <w:adjustRightInd w:val="0"/>
        <w:snapToGrid w:val="0"/>
        <w:spacing w:line="560" w:lineRule="exact"/>
        <w:jc w:val="center"/>
        <w:textAlignment w:val="auto"/>
        <w:rPr>
          <w:rFonts w:ascii="仿宋" w:hAnsi="仿宋" w:eastAsia="仿宋"/>
          <w:color w:val="auto"/>
          <w:kern w:val="0"/>
          <w:sz w:val="28"/>
          <w:szCs w:val="28"/>
        </w:rPr>
      </w:pPr>
      <w:r>
        <w:rPr>
          <w:rFonts w:hint="eastAsia" w:ascii="仿宋" w:hAnsi="仿宋" w:eastAsia="仿宋"/>
          <w:color w:val="auto"/>
          <w:kern w:val="0"/>
          <w:sz w:val="28"/>
          <w:szCs w:val="28"/>
        </w:rPr>
        <w:t>表</w:t>
      </w:r>
      <w:r>
        <w:rPr>
          <w:rFonts w:ascii="仿宋" w:hAnsi="仿宋" w:eastAsia="仿宋"/>
          <w:color w:val="auto"/>
          <w:kern w:val="0"/>
          <w:sz w:val="28"/>
          <w:szCs w:val="28"/>
        </w:rPr>
        <w:t>3</w:t>
      </w:r>
      <w:r>
        <w:rPr>
          <w:rFonts w:hint="eastAsia" w:ascii="仿宋" w:hAnsi="仿宋" w:eastAsia="仿宋"/>
          <w:color w:val="auto"/>
          <w:kern w:val="0"/>
          <w:sz w:val="28"/>
          <w:szCs w:val="28"/>
        </w:rPr>
        <w:t>绩效评价各项指标得分情况表</w:t>
      </w:r>
    </w:p>
    <w:p>
      <w:pPr>
        <w:pageBreakBefore w:val="0"/>
        <w:kinsoku/>
        <w:wordWrap/>
        <w:overflowPunct/>
        <w:topLinePunct w:val="0"/>
        <w:autoSpaceDE/>
        <w:autoSpaceDN/>
        <w:bidi w:val="0"/>
        <w:adjustRightInd w:val="0"/>
        <w:snapToGrid w:val="0"/>
        <w:spacing w:line="560" w:lineRule="exact"/>
        <w:jc w:val="center"/>
        <w:textAlignment w:val="auto"/>
        <w:rPr>
          <w:rFonts w:ascii="仿宋_GB2312" w:hAnsi="仿宋" w:eastAsia="仿宋_GB2312" w:cs="仿宋"/>
          <w:color w:val="auto"/>
          <w:sz w:val="24"/>
        </w:rPr>
      </w:pPr>
    </w:p>
    <w:tbl>
      <w:tblPr>
        <w:tblStyle w:val="13"/>
        <w:tblW w:w="5000" w:type="pct"/>
        <w:tblInd w:w="0" w:type="dxa"/>
        <w:tblLayout w:type="autofit"/>
        <w:tblCellMar>
          <w:top w:w="0" w:type="dxa"/>
          <w:left w:w="108" w:type="dxa"/>
          <w:bottom w:w="0" w:type="dxa"/>
          <w:right w:w="108" w:type="dxa"/>
        </w:tblCellMar>
      </w:tblPr>
      <w:tblGrid>
        <w:gridCol w:w="1697"/>
        <w:gridCol w:w="2664"/>
        <w:gridCol w:w="1984"/>
        <w:gridCol w:w="2177"/>
      </w:tblGrid>
      <w:tr>
        <w:tblPrEx>
          <w:tblCellMar>
            <w:top w:w="0" w:type="dxa"/>
            <w:left w:w="108" w:type="dxa"/>
            <w:bottom w:w="0" w:type="dxa"/>
            <w:right w:w="108" w:type="dxa"/>
          </w:tblCellMar>
        </w:tblPrEx>
        <w:trPr>
          <w:trHeight w:val="510" w:hRule="exact"/>
        </w:trPr>
        <w:tc>
          <w:tcPr>
            <w:tcW w:w="996" w:type="pct"/>
            <w:tcBorders>
              <w:top w:val="single" w:color="auto" w:sz="4" w:space="0"/>
              <w:left w:val="single" w:color="auto" w:sz="4" w:space="0"/>
              <w:bottom w:val="single" w:color="auto" w:sz="4" w:space="0"/>
              <w:right w:val="single" w:color="auto" w:sz="4" w:space="0"/>
            </w:tcBorders>
            <w:shd w:val="clear" w:color="auto" w:fill="D0CECE" w:themeFill="background2" w:themeFillShade="E6"/>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b/>
                <w:bCs/>
                <w:color w:val="auto"/>
                <w:kern w:val="0"/>
                <w:sz w:val="28"/>
              </w:rPr>
            </w:pPr>
            <w:r>
              <w:rPr>
                <w:rFonts w:hint="eastAsia" w:ascii="宋体" w:hAnsi="宋体" w:cs="宋体"/>
                <w:b/>
                <w:bCs/>
                <w:color w:val="auto"/>
                <w:kern w:val="0"/>
                <w:sz w:val="28"/>
              </w:rPr>
              <w:t>序号</w:t>
            </w:r>
          </w:p>
        </w:tc>
        <w:tc>
          <w:tcPr>
            <w:tcW w:w="1563" w:type="pct"/>
            <w:tcBorders>
              <w:top w:val="single" w:color="auto" w:sz="4" w:space="0"/>
              <w:left w:val="nil"/>
              <w:bottom w:val="single" w:color="auto" w:sz="4" w:space="0"/>
              <w:right w:val="single" w:color="auto" w:sz="4" w:space="0"/>
            </w:tcBorders>
            <w:shd w:val="clear" w:color="auto" w:fill="D0CECE" w:themeFill="background2" w:themeFillShade="E6"/>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b/>
                <w:bCs/>
                <w:color w:val="auto"/>
                <w:kern w:val="0"/>
                <w:sz w:val="28"/>
              </w:rPr>
            </w:pPr>
            <w:r>
              <w:rPr>
                <w:rFonts w:hint="eastAsia" w:ascii="宋体" w:hAnsi="宋体" w:cs="宋体"/>
                <w:b/>
                <w:bCs/>
                <w:color w:val="auto"/>
                <w:kern w:val="0"/>
                <w:sz w:val="28"/>
              </w:rPr>
              <w:t>一级指标</w:t>
            </w:r>
          </w:p>
        </w:tc>
        <w:tc>
          <w:tcPr>
            <w:tcW w:w="1164" w:type="pct"/>
            <w:tcBorders>
              <w:top w:val="single" w:color="auto" w:sz="4" w:space="0"/>
              <w:left w:val="nil"/>
              <w:bottom w:val="single" w:color="auto" w:sz="4" w:space="0"/>
              <w:right w:val="single" w:color="auto" w:sz="4" w:space="0"/>
            </w:tcBorders>
            <w:shd w:val="clear" w:color="auto" w:fill="D0CECE" w:themeFill="background2" w:themeFillShade="E6"/>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b/>
                <w:bCs/>
                <w:color w:val="auto"/>
                <w:kern w:val="0"/>
                <w:sz w:val="28"/>
              </w:rPr>
            </w:pPr>
            <w:r>
              <w:rPr>
                <w:rFonts w:hint="eastAsia" w:ascii="宋体" w:hAnsi="宋体" w:cs="宋体"/>
                <w:b/>
                <w:bCs/>
                <w:color w:val="auto"/>
                <w:kern w:val="0"/>
                <w:sz w:val="28"/>
              </w:rPr>
              <w:t>分值</w:t>
            </w:r>
          </w:p>
        </w:tc>
        <w:tc>
          <w:tcPr>
            <w:tcW w:w="1277" w:type="pct"/>
            <w:tcBorders>
              <w:top w:val="single" w:color="auto" w:sz="4" w:space="0"/>
              <w:left w:val="nil"/>
              <w:bottom w:val="single" w:color="auto" w:sz="4" w:space="0"/>
              <w:right w:val="single" w:color="auto" w:sz="4" w:space="0"/>
            </w:tcBorders>
            <w:shd w:val="clear" w:color="auto" w:fill="D0CECE" w:themeFill="background2" w:themeFillShade="E6"/>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b/>
                <w:bCs/>
                <w:color w:val="auto"/>
                <w:kern w:val="0"/>
                <w:sz w:val="28"/>
              </w:rPr>
            </w:pPr>
            <w:r>
              <w:rPr>
                <w:rFonts w:hint="eastAsia" w:ascii="宋体" w:hAnsi="宋体" w:cs="宋体"/>
                <w:b/>
                <w:bCs/>
                <w:color w:val="auto"/>
                <w:kern w:val="0"/>
                <w:sz w:val="28"/>
              </w:rPr>
              <w:t>得分</w:t>
            </w:r>
          </w:p>
        </w:tc>
      </w:tr>
      <w:tr>
        <w:tblPrEx>
          <w:tblCellMar>
            <w:top w:w="0" w:type="dxa"/>
            <w:left w:w="108" w:type="dxa"/>
            <w:bottom w:w="0" w:type="dxa"/>
            <w:right w:w="108" w:type="dxa"/>
          </w:tblCellMar>
        </w:tblPrEx>
        <w:trPr>
          <w:trHeight w:val="510" w:hRule="exact"/>
        </w:trPr>
        <w:tc>
          <w:tcPr>
            <w:tcW w:w="996" w:type="pct"/>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一</w:t>
            </w:r>
          </w:p>
        </w:tc>
        <w:tc>
          <w:tcPr>
            <w:tcW w:w="1563"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预算执行情况</w:t>
            </w:r>
          </w:p>
        </w:tc>
        <w:tc>
          <w:tcPr>
            <w:tcW w:w="1164"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20</w:t>
            </w:r>
          </w:p>
        </w:tc>
        <w:tc>
          <w:tcPr>
            <w:tcW w:w="1277"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18.6</w:t>
            </w:r>
          </w:p>
        </w:tc>
      </w:tr>
      <w:tr>
        <w:tblPrEx>
          <w:tblCellMar>
            <w:top w:w="0" w:type="dxa"/>
            <w:left w:w="108" w:type="dxa"/>
            <w:bottom w:w="0" w:type="dxa"/>
            <w:right w:w="108" w:type="dxa"/>
          </w:tblCellMar>
        </w:tblPrEx>
        <w:trPr>
          <w:trHeight w:val="510" w:hRule="exact"/>
        </w:trPr>
        <w:tc>
          <w:tcPr>
            <w:tcW w:w="996" w:type="pct"/>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二</w:t>
            </w:r>
          </w:p>
        </w:tc>
        <w:tc>
          <w:tcPr>
            <w:tcW w:w="1563"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整体绩效目标实现情况</w:t>
            </w:r>
          </w:p>
        </w:tc>
        <w:tc>
          <w:tcPr>
            <w:tcW w:w="1164"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60</w:t>
            </w:r>
          </w:p>
        </w:tc>
        <w:tc>
          <w:tcPr>
            <w:tcW w:w="1277"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58</w:t>
            </w:r>
          </w:p>
        </w:tc>
      </w:tr>
      <w:tr>
        <w:tblPrEx>
          <w:tblCellMar>
            <w:top w:w="0" w:type="dxa"/>
            <w:left w:w="108" w:type="dxa"/>
            <w:bottom w:w="0" w:type="dxa"/>
            <w:right w:w="108" w:type="dxa"/>
          </w:tblCellMar>
        </w:tblPrEx>
        <w:trPr>
          <w:trHeight w:val="510" w:hRule="exact"/>
        </w:trPr>
        <w:tc>
          <w:tcPr>
            <w:tcW w:w="996" w:type="pct"/>
            <w:tcBorders>
              <w:top w:val="nil"/>
              <w:left w:val="single" w:color="auto" w:sz="4" w:space="0"/>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三</w:t>
            </w:r>
          </w:p>
        </w:tc>
        <w:tc>
          <w:tcPr>
            <w:tcW w:w="1563"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预算管理情况</w:t>
            </w:r>
          </w:p>
        </w:tc>
        <w:tc>
          <w:tcPr>
            <w:tcW w:w="1164"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20</w:t>
            </w:r>
          </w:p>
        </w:tc>
        <w:tc>
          <w:tcPr>
            <w:tcW w:w="1277" w:type="pct"/>
            <w:tcBorders>
              <w:top w:val="nil"/>
              <w:left w:val="nil"/>
              <w:bottom w:val="single" w:color="auto" w:sz="4" w:space="0"/>
              <w:right w:val="single" w:color="auto" w:sz="4" w:space="0"/>
            </w:tcBorders>
            <w:shd w:val="clear" w:color="auto" w:fill="auto"/>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18.3</w:t>
            </w:r>
          </w:p>
        </w:tc>
      </w:tr>
      <w:tr>
        <w:tblPrEx>
          <w:tblCellMar>
            <w:top w:w="0" w:type="dxa"/>
            <w:left w:w="108" w:type="dxa"/>
            <w:bottom w:w="0" w:type="dxa"/>
            <w:right w:w="108" w:type="dxa"/>
          </w:tblCellMar>
        </w:tblPrEx>
        <w:trPr>
          <w:trHeight w:val="510" w:hRule="exact"/>
        </w:trPr>
        <w:tc>
          <w:tcPr>
            <w:tcW w:w="2559" w:type="pct"/>
            <w:gridSpan w:val="2"/>
            <w:tcBorders>
              <w:top w:val="single" w:color="auto" w:sz="4" w:space="0"/>
              <w:left w:val="single" w:color="auto" w:sz="4" w:space="0"/>
              <w:bottom w:val="single" w:color="auto" w:sz="4" w:space="0"/>
              <w:right w:val="single" w:color="000000" w:sz="4" w:space="0"/>
            </w:tcBorders>
            <w:shd w:val="clear" w:color="auto" w:fill="D0CECE" w:themeFill="background2" w:themeFillShade="E6"/>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总计</w:t>
            </w:r>
          </w:p>
        </w:tc>
        <w:tc>
          <w:tcPr>
            <w:tcW w:w="1164" w:type="pct"/>
            <w:tcBorders>
              <w:top w:val="nil"/>
              <w:left w:val="nil"/>
              <w:bottom w:val="single" w:color="auto" w:sz="4" w:space="0"/>
              <w:right w:val="single" w:color="auto" w:sz="4" w:space="0"/>
            </w:tcBorders>
            <w:shd w:val="clear" w:color="auto" w:fill="D0CECE" w:themeFill="background2" w:themeFillShade="E6"/>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100</w:t>
            </w:r>
          </w:p>
        </w:tc>
        <w:tc>
          <w:tcPr>
            <w:tcW w:w="1277" w:type="pct"/>
            <w:tcBorders>
              <w:top w:val="nil"/>
              <w:left w:val="nil"/>
              <w:bottom w:val="single" w:color="auto" w:sz="4" w:space="0"/>
              <w:right w:val="single" w:color="auto" w:sz="4" w:space="0"/>
            </w:tcBorders>
            <w:shd w:val="clear" w:color="auto" w:fill="D0CECE" w:themeFill="background2" w:themeFillShade="E6"/>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94.9</w:t>
            </w:r>
          </w:p>
        </w:tc>
      </w:tr>
    </w:tbl>
    <w:p>
      <w:pPr>
        <w:pStyle w:val="2"/>
        <w:pageBreakBefore w:val="0"/>
        <w:kinsoku/>
        <w:wordWrap/>
        <w:overflowPunct/>
        <w:topLinePunct w:val="0"/>
        <w:autoSpaceDE/>
        <w:autoSpaceDN/>
        <w:bidi w:val="0"/>
        <w:spacing w:line="560" w:lineRule="exact"/>
        <w:ind w:firstLine="643"/>
        <w:textAlignment w:val="auto"/>
        <w:rPr>
          <w:rFonts w:ascii="楷体" w:hAnsi="楷体"/>
          <w:color w:val="auto"/>
        </w:rPr>
      </w:pPr>
      <w:bookmarkStart w:id="21" w:name="_Toc135677312"/>
      <w:r>
        <w:rPr>
          <w:rFonts w:hint="eastAsia" w:ascii="楷体" w:hAnsi="楷体"/>
          <w:color w:val="auto"/>
        </w:rPr>
        <w:t>（二）存在的问题及原因分析</w:t>
      </w:r>
      <w:bookmarkEnd w:id="21"/>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eastAsia="zh-CN"/>
        </w:rPr>
        <w:t>一是</w:t>
      </w:r>
      <w:r>
        <w:rPr>
          <w:rFonts w:hint="eastAsia" w:ascii="仿宋_GB2312" w:hAnsi="宋体" w:eastAsia="仿宋_GB2312" w:cs="宋体"/>
          <w:color w:val="auto"/>
          <w:kern w:val="0"/>
          <w:sz w:val="32"/>
          <w:szCs w:val="32"/>
        </w:rPr>
        <w:t>个别绩效指标设置的系统性、完整性还不够强，需要进一步完善和改进。</w:t>
      </w:r>
      <w:bookmarkStart w:id="22" w:name="_Toc135677313"/>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eastAsia="zh-CN"/>
        </w:rPr>
        <w:t>二是</w:t>
      </w:r>
      <w:r>
        <w:rPr>
          <w:rFonts w:hint="eastAsia" w:ascii="仿宋_GB2312" w:hAnsi="宋体" w:eastAsia="仿宋_GB2312" w:cs="宋体"/>
          <w:color w:val="auto"/>
          <w:kern w:val="0"/>
          <w:sz w:val="32"/>
          <w:szCs w:val="32"/>
        </w:rPr>
        <w:t>项目执行的绩效资料收集、整理及分析意识还需进一步强化,项目服务对象满意度调查开展不够全面，项目效益效果资料未能充分、完整地呈现。</w:t>
      </w:r>
    </w:p>
    <w:p>
      <w:pPr>
        <w:pStyle w:val="3"/>
        <w:pageBreakBefore w:val="0"/>
        <w:kinsoku/>
        <w:wordWrap/>
        <w:overflowPunct/>
        <w:topLinePunct w:val="0"/>
        <w:autoSpaceDE/>
        <w:autoSpaceDN/>
        <w:bidi w:val="0"/>
        <w:spacing w:before="217" w:after="217" w:line="560" w:lineRule="exact"/>
        <w:ind w:left="105" w:firstLine="640"/>
        <w:textAlignment w:val="auto"/>
        <w:rPr>
          <w:rFonts w:hint="eastAsia"/>
          <w:color w:val="auto"/>
        </w:rPr>
      </w:pPr>
      <w:r>
        <w:rPr>
          <w:rFonts w:hint="eastAsia"/>
          <w:color w:val="auto"/>
        </w:rPr>
        <w:t>六、措施建议</w:t>
      </w:r>
      <w:bookmarkEnd w:id="22"/>
      <w:bookmarkStart w:id="23" w:name="_Toc103006301"/>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lang w:eastAsia="zh-CN"/>
        </w:rPr>
        <w:t>一是</w:t>
      </w:r>
      <w:r>
        <w:rPr>
          <w:rFonts w:hint="eastAsia" w:ascii="仿宋_GB2312" w:hAnsi="宋体" w:eastAsia="仿宋_GB2312" w:cs="宋体"/>
          <w:color w:val="auto"/>
          <w:kern w:val="0"/>
          <w:sz w:val="32"/>
          <w:szCs w:val="32"/>
        </w:rPr>
        <w:t>加强目标导向意识，科学填报项目总体目标及各项绩效指标，保证绩效目标的明确性、全面性、合理性、细化量化及可考量性。在预算调整后应及时调整绩效目标，充分发挥绩效评价结果导向性作用，促进公共资源合理配置，提升财政资金的使用效益。</w:t>
      </w:r>
    </w:p>
    <w:p>
      <w:pPr>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宋体" w:eastAsia="仿宋_GB2312" w:cs="宋体"/>
          <w:color w:val="auto"/>
          <w:kern w:val="0"/>
          <w:sz w:val="32"/>
          <w:szCs w:val="32"/>
        </w:rPr>
      </w:pPr>
      <w:bookmarkStart w:id="24" w:name="_Toc135677314"/>
      <w:r>
        <w:rPr>
          <w:rFonts w:hint="eastAsia" w:ascii="仿宋_GB2312" w:hAnsi="宋体" w:eastAsia="仿宋_GB2312" w:cs="宋体"/>
          <w:color w:val="auto"/>
          <w:kern w:val="0"/>
          <w:sz w:val="32"/>
          <w:szCs w:val="32"/>
          <w:lang w:eastAsia="zh-CN"/>
        </w:rPr>
        <w:t>二是</w:t>
      </w:r>
      <w:r>
        <w:rPr>
          <w:rFonts w:hint="eastAsia" w:ascii="仿宋_GB2312" w:hAnsi="宋体" w:eastAsia="仿宋_GB2312" w:cs="宋体"/>
          <w:color w:val="auto"/>
          <w:kern w:val="0"/>
          <w:sz w:val="32"/>
          <w:szCs w:val="32"/>
        </w:rPr>
        <w:t>强化绩效管理意识，注重项目效益资料收集和呈现，运用效果资料和数据支撑项目效益。选择适当的方式、方法，全面开展服务对象满意度调查及分析，充分反映项目服务对象满意度。</w:t>
      </w:r>
    </w:p>
    <w:p>
      <w:pPr>
        <w:pStyle w:val="3"/>
        <w:pageBreakBefore w:val="0"/>
        <w:kinsoku/>
        <w:wordWrap/>
        <w:overflowPunct/>
        <w:topLinePunct w:val="0"/>
        <w:autoSpaceDE/>
        <w:autoSpaceDN/>
        <w:bidi w:val="0"/>
        <w:spacing w:before="217" w:after="217" w:line="560" w:lineRule="exact"/>
        <w:ind w:left="105" w:firstLine="640"/>
        <w:textAlignment w:val="auto"/>
        <w:rPr>
          <w:rFonts w:hint="eastAsia"/>
          <w:color w:val="auto"/>
        </w:rPr>
      </w:pPr>
      <w:r>
        <w:rPr>
          <w:rFonts w:hint="eastAsia"/>
          <w:color w:val="auto"/>
        </w:rPr>
        <w:t>七、附件</w:t>
      </w:r>
      <w:bookmarkEnd w:id="23"/>
      <w:bookmarkEnd w:id="24"/>
    </w:p>
    <w:p>
      <w:pPr>
        <w:pageBreakBefore w:val="0"/>
        <w:kinsoku/>
        <w:wordWrap/>
        <w:overflowPunct/>
        <w:topLinePunct w:val="0"/>
        <w:autoSpaceDE/>
        <w:autoSpaceDN/>
        <w:bidi w:val="0"/>
        <w:adjustRightInd w:val="0"/>
        <w:snapToGrid w:val="0"/>
        <w:spacing w:line="560" w:lineRule="exact"/>
        <w:ind w:firstLine="640" w:firstLineChars="200"/>
        <w:textAlignment w:val="auto"/>
        <w:rPr>
          <w:rFonts w:ascii="仿宋_GB2312" w:hAnsi="仿宋_GB2312" w:eastAsia="仿宋_GB2312" w:cs="仿宋_GB2312"/>
          <w:color w:val="auto"/>
          <w:sz w:val="32"/>
          <w:szCs w:val="32"/>
        </w:rPr>
        <w:sectPr>
          <w:footerReference r:id="rId3" w:type="default"/>
          <w:pgSz w:w="11906" w:h="16838"/>
          <w:pgMar w:top="1440" w:right="1800" w:bottom="1440" w:left="1800" w:header="851" w:footer="964" w:gutter="0"/>
          <w:pgNumType w:start="1"/>
          <w:cols w:space="425" w:num="1"/>
          <w:docGrid w:type="lines" w:linePitch="435" w:charSpace="0"/>
        </w:sectPr>
      </w:pPr>
      <w:r>
        <w:rPr>
          <w:rFonts w:ascii="仿宋_GB2312" w:hAnsi="宋体" w:eastAsia="仿宋_GB2312" w:cs="宋体"/>
          <w:color w:val="auto"/>
          <w:kern w:val="0"/>
          <w:sz w:val="32"/>
          <w:szCs w:val="32"/>
        </w:rPr>
        <w:t>2022年部门整体绩效评价指标体系评分表</w:t>
      </w:r>
    </w:p>
    <w:p>
      <w:pPr>
        <w:pageBreakBefore w:val="0"/>
        <w:kinsoku/>
        <w:wordWrap/>
        <w:overflowPunct/>
        <w:topLinePunct w:val="0"/>
        <w:autoSpaceDE/>
        <w:autoSpaceDN/>
        <w:bidi w:val="0"/>
        <w:spacing w:line="560" w:lineRule="exact"/>
        <w:jc w:val="left"/>
        <w:textAlignment w:val="auto"/>
        <w:rPr>
          <w:rFonts w:ascii="方正黑体_GBK" w:hAnsi="方正黑体_GBK" w:eastAsia="方正黑体_GBK" w:cs="方正黑体_GBK"/>
          <w:color w:val="auto"/>
          <w:sz w:val="32"/>
        </w:rPr>
      </w:pPr>
      <w:r>
        <w:rPr>
          <w:rFonts w:hint="eastAsia" w:ascii="方正黑体_GBK" w:hAnsi="方正黑体_GBK" w:eastAsia="方正黑体_GBK" w:cs="方正黑体_GBK"/>
          <w:color w:val="auto"/>
          <w:sz w:val="32"/>
        </w:rPr>
        <w:t>附件</w:t>
      </w:r>
    </w:p>
    <w:tbl>
      <w:tblPr>
        <w:tblStyle w:val="13"/>
        <w:tblW w:w="5000" w:type="pct"/>
        <w:tblInd w:w="0" w:type="dxa"/>
        <w:tblLayout w:type="autofit"/>
        <w:tblCellMar>
          <w:top w:w="0" w:type="dxa"/>
          <w:left w:w="108" w:type="dxa"/>
          <w:bottom w:w="0" w:type="dxa"/>
          <w:right w:w="108" w:type="dxa"/>
        </w:tblCellMar>
      </w:tblPr>
      <w:tblGrid>
        <w:gridCol w:w="1060"/>
        <w:gridCol w:w="1026"/>
        <w:gridCol w:w="1718"/>
        <w:gridCol w:w="1996"/>
        <w:gridCol w:w="1035"/>
        <w:gridCol w:w="697"/>
        <w:gridCol w:w="1307"/>
        <w:gridCol w:w="2497"/>
        <w:gridCol w:w="2838"/>
      </w:tblGrid>
      <w:tr>
        <w:tblPrEx>
          <w:tblCellMar>
            <w:top w:w="0" w:type="dxa"/>
            <w:left w:w="108" w:type="dxa"/>
            <w:bottom w:w="0" w:type="dxa"/>
            <w:right w:w="108" w:type="dxa"/>
          </w:tblCellMar>
        </w:tblPrEx>
        <w:trPr>
          <w:cantSplit/>
          <w:trHeight w:val="90" w:hRule="atLeast"/>
        </w:trPr>
        <w:tc>
          <w:tcPr>
            <w:tcW w:w="5000" w:type="pct"/>
            <w:gridSpan w:val="9"/>
            <w:tcBorders>
              <w:top w:val="nil"/>
              <w:left w:val="nil"/>
              <w:bottom w:val="single" w:color="auto" w:sz="4" w:space="0"/>
              <w:right w:val="nil"/>
            </w:tcBorders>
            <w:noWrap/>
            <w:vAlign w:val="bottom"/>
          </w:tcPr>
          <w:p>
            <w:pPr>
              <w:pageBreakBefore w:val="0"/>
              <w:widowControl/>
              <w:kinsoku/>
              <w:wordWrap/>
              <w:overflowPunct/>
              <w:topLinePunct w:val="0"/>
              <w:autoSpaceDE/>
              <w:autoSpaceDN/>
              <w:bidi w:val="0"/>
              <w:spacing w:line="560" w:lineRule="exact"/>
              <w:jc w:val="center"/>
              <w:textAlignment w:val="auto"/>
              <w:rPr>
                <w:rFonts w:ascii="方正小标宋简体" w:hAnsi="黑体" w:eastAsia="方正小标宋简体" w:cs="宋体"/>
                <w:color w:val="auto"/>
                <w:kern w:val="0"/>
                <w:sz w:val="44"/>
                <w:szCs w:val="44"/>
              </w:rPr>
            </w:pPr>
            <w:r>
              <w:rPr>
                <w:rFonts w:ascii="方正小标宋简体" w:hAnsi="黑体" w:eastAsia="方正小标宋简体" w:cs="宋体"/>
                <w:color w:val="auto"/>
                <w:kern w:val="0"/>
                <w:sz w:val="44"/>
                <w:szCs w:val="44"/>
              </w:rPr>
              <w:t>2022年部门整体绩效评价指标体系评分表</w:t>
            </w:r>
          </w:p>
        </w:tc>
      </w:tr>
      <w:tr>
        <w:tblPrEx>
          <w:tblCellMar>
            <w:top w:w="0" w:type="dxa"/>
            <w:left w:w="108" w:type="dxa"/>
            <w:bottom w:w="0" w:type="dxa"/>
            <w:right w:w="108" w:type="dxa"/>
          </w:tblCellMar>
        </w:tblPrEx>
        <w:trPr>
          <w:cantSplit/>
          <w:trHeight w:val="470" w:hRule="atLeast"/>
        </w:trPr>
        <w:tc>
          <w:tcPr>
            <w:tcW w:w="5000" w:type="pct"/>
            <w:gridSpan w:val="9"/>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一、当年预算执行情况（</w:t>
            </w:r>
            <w:r>
              <w:rPr>
                <w:rFonts w:ascii="宋体" w:hAnsi="宋体" w:cs="宋体"/>
                <w:color w:val="auto"/>
                <w:kern w:val="0"/>
                <w:sz w:val="24"/>
              </w:rPr>
              <w:t>20分）</w:t>
            </w:r>
          </w:p>
        </w:tc>
      </w:tr>
      <w:tr>
        <w:tblPrEx>
          <w:tblCellMar>
            <w:top w:w="0" w:type="dxa"/>
            <w:left w:w="108" w:type="dxa"/>
            <w:bottom w:w="0" w:type="dxa"/>
            <w:right w:w="108" w:type="dxa"/>
          </w:tblCellMar>
        </w:tblPrEx>
        <w:trPr>
          <w:cantSplit/>
          <w:trHeight w:val="660" w:hRule="atLeast"/>
        </w:trPr>
        <w:tc>
          <w:tcPr>
            <w:tcW w:w="374"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一</w:t>
            </w:r>
            <w:r>
              <w:rPr>
                <w:rFonts w:ascii="宋体" w:hAnsi="宋体" w:cs="宋体"/>
                <w:color w:val="auto"/>
                <w:kern w:val="0"/>
                <w:sz w:val="24"/>
              </w:rPr>
              <w:t>级指标</w:t>
            </w:r>
          </w:p>
        </w:tc>
        <w:tc>
          <w:tcPr>
            <w:tcW w:w="362"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二</w:t>
            </w:r>
            <w:r>
              <w:rPr>
                <w:rFonts w:ascii="宋体" w:hAnsi="宋体" w:cs="宋体"/>
                <w:color w:val="auto"/>
                <w:kern w:val="0"/>
                <w:sz w:val="24"/>
              </w:rPr>
              <w:t>级指标</w:t>
            </w:r>
          </w:p>
        </w:tc>
        <w:tc>
          <w:tcPr>
            <w:tcW w:w="60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预算数（万元）</w:t>
            </w:r>
          </w:p>
        </w:tc>
        <w:tc>
          <w:tcPr>
            <w:tcW w:w="704"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执行数（万元）</w:t>
            </w:r>
          </w:p>
        </w:tc>
        <w:tc>
          <w:tcPr>
            <w:tcW w:w="365"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预算执行率</w:t>
            </w:r>
          </w:p>
        </w:tc>
        <w:tc>
          <w:tcPr>
            <w:tcW w:w="24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分值</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得分</w:t>
            </w:r>
          </w:p>
        </w:tc>
        <w:tc>
          <w:tcPr>
            <w:tcW w:w="88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指标解释</w:t>
            </w:r>
          </w:p>
        </w:tc>
        <w:tc>
          <w:tcPr>
            <w:tcW w:w="100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评分标准</w:t>
            </w:r>
          </w:p>
        </w:tc>
      </w:tr>
      <w:tr>
        <w:tblPrEx>
          <w:tblCellMar>
            <w:top w:w="0" w:type="dxa"/>
            <w:left w:w="108" w:type="dxa"/>
            <w:bottom w:w="0" w:type="dxa"/>
            <w:right w:w="108" w:type="dxa"/>
          </w:tblCellMar>
        </w:tblPrEx>
        <w:trPr>
          <w:cantSplit/>
          <w:trHeight w:val="3685" w:hRule="atLeast"/>
        </w:trPr>
        <w:tc>
          <w:tcPr>
            <w:tcW w:w="374" w:type="pct"/>
            <w:vMerge w:val="restar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当年预算执行情况（</w:t>
            </w:r>
            <w:r>
              <w:rPr>
                <w:rFonts w:ascii="宋体" w:hAnsi="宋体" w:cs="宋体"/>
                <w:color w:val="auto"/>
                <w:kern w:val="0"/>
                <w:sz w:val="24"/>
              </w:rPr>
              <w:t>20）</w:t>
            </w:r>
          </w:p>
        </w:tc>
        <w:tc>
          <w:tcPr>
            <w:tcW w:w="362"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资金总体</w:t>
            </w:r>
          </w:p>
        </w:tc>
        <w:tc>
          <w:tcPr>
            <w:tcW w:w="60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14447.135671</w:t>
            </w:r>
          </w:p>
        </w:tc>
        <w:tc>
          <w:tcPr>
            <w:tcW w:w="704"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13463.524637</w:t>
            </w:r>
          </w:p>
        </w:tc>
        <w:tc>
          <w:tcPr>
            <w:tcW w:w="365"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93.19%</w:t>
            </w:r>
          </w:p>
        </w:tc>
        <w:tc>
          <w:tcPr>
            <w:tcW w:w="246" w:type="pct"/>
            <w:vMerge w:val="restart"/>
            <w:tcBorders>
              <w:top w:val="single" w:color="auto" w:sz="4" w:space="0"/>
              <w:left w:val="single" w:color="auto" w:sz="4" w:space="0"/>
              <w:bottom w:val="single" w:color="auto" w:sz="4" w:space="0"/>
              <w:right w:val="single" w:color="auto" w:sz="4" w:space="0"/>
            </w:tcBorders>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20</w:t>
            </w:r>
          </w:p>
        </w:tc>
        <w:tc>
          <w:tcPr>
            <w:tcW w:w="461" w:type="pct"/>
            <w:vMerge w:val="restart"/>
            <w:tcBorders>
              <w:top w:val="single" w:color="auto" w:sz="4" w:space="0"/>
              <w:left w:val="single" w:color="auto" w:sz="4" w:space="0"/>
              <w:bottom w:val="single" w:color="auto" w:sz="4" w:space="0"/>
              <w:right w:val="single" w:color="auto" w:sz="4" w:space="0"/>
            </w:tcBorders>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18.6</w:t>
            </w:r>
          </w:p>
        </w:tc>
        <w:tc>
          <w:tcPr>
            <w:tcW w:w="881" w:type="pct"/>
            <w:vMerge w:val="restar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部门全年执行数与全年预算数的比率。资金总体</w:t>
            </w:r>
            <w:r>
              <w:rPr>
                <w:rFonts w:ascii="宋体" w:hAnsi="宋体" w:cs="宋体"/>
                <w:color w:val="auto"/>
                <w:kern w:val="0"/>
                <w:sz w:val="24"/>
              </w:rPr>
              <w:t>=基本支出+项目支出+其他</w:t>
            </w:r>
          </w:p>
        </w:tc>
        <w:tc>
          <w:tcPr>
            <w:tcW w:w="1001" w:type="pct"/>
            <w:vMerge w:val="restar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①得分一档最高不能超过该指标分值上限（</w:t>
            </w:r>
            <w:r>
              <w:rPr>
                <w:rFonts w:ascii="宋体" w:hAnsi="宋体" w:cs="宋体"/>
                <w:color w:val="auto"/>
                <w:kern w:val="0"/>
                <w:sz w:val="24"/>
              </w:rPr>
              <w:t>20分）。</w:t>
            </w:r>
            <w:r>
              <w:rPr>
                <w:rFonts w:ascii="宋体" w:hAnsi="宋体" w:cs="宋体"/>
                <w:color w:val="auto"/>
                <w:kern w:val="0"/>
                <w:sz w:val="24"/>
              </w:rPr>
              <w:br w:type="textWrapping"/>
            </w:r>
            <w:r>
              <w:rPr>
                <w:rFonts w:hint="eastAsia" w:ascii="宋体" w:hAnsi="宋体" w:cs="宋体"/>
                <w:color w:val="auto"/>
                <w:kern w:val="0"/>
                <w:sz w:val="24"/>
              </w:rPr>
              <w:t>②该指标若为正向指标，则得分计算方法应用全年实际值（</w:t>
            </w:r>
            <w:r>
              <w:rPr>
                <w:rFonts w:ascii="宋体" w:hAnsi="宋体" w:cs="宋体"/>
                <w:color w:val="auto"/>
                <w:kern w:val="0"/>
                <w:sz w:val="24"/>
              </w:rPr>
              <w:t>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CellMar>
            <w:top w:w="0" w:type="dxa"/>
            <w:left w:w="108" w:type="dxa"/>
            <w:bottom w:w="0" w:type="dxa"/>
            <w:right w:w="108" w:type="dxa"/>
          </w:tblCellMar>
        </w:tblPrEx>
        <w:trPr>
          <w:cantSplit/>
          <w:trHeight w:val="600" w:hRule="atLeast"/>
        </w:trPr>
        <w:tc>
          <w:tcPr>
            <w:tcW w:w="374"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362"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基本支出</w:t>
            </w:r>
          </w:p>
        </w:tc>
        <w:tc>
          <w:tcPr>
            <w:tcW w:w="60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9483.355121</w:t>
            </w:r>
          </w:p>
        </w:tc>
        <w:tc>
          <w:tcPr>
            <w:tcW w:w="704"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8985.351426</w:t>
            </w:r>
          </w:p>
        </w:tc>
        <w:tc>
          <w:tcPr>
            <w:tcW w:w="365" w:type="pct"/>
            <w:vMerge w:val="restar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w:t>
            </w:r>
          </w:p>
        </w:tc>
        <w:tc>
          <w:tcPr>
            <w:tcW w:w="246"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461"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881"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1001"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r>
      <w:tr>
        <w:tblPrEx>
          <w:tblCellMar>
            <w:top w:w="0" w:type="dxa"/>
            <w:left w:w="108" w:type="dxa"/>
            <w:bottom w:w="0" w:type="dxa"/>
            <w:right w:w="108" w:type="dxa"/>
          </w:tblCellMar>
        </w:tblPrEx>
        <w:trPr>
          <w:cantSplit/>
          <w:trHeight w:val="615" w:hRule="atLeast"/>
        </w:trPr>
        <w:tc>
          <w:tcPr>
            <w:tcW w:w="374"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362"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项目支出</w:t>
            </w:r>
          </w:p>
        </w:tc>
        <w:tc>
          <w:tcPr>
            <w:tcW w:w="60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Arial"/>
                <w:color w:val="auto"/>
                <w:sz w:val="24"/>
              </w:rPr>
              <w:t>4963.780550</w:t>
            </w:r>
          </w:p>
        </w:tc>
        <w:tc>
          <w:tcPr>
            <w:tcW w:w="704"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4478.173211</w:t>
            </w:r>
          </w:p>
        </w:tc>
        <w:tc>
          <w:tcPr>
            <w:tcW w:w="365"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246"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461"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881"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1001"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r>
      <w:tr>
        <w:tblPrEx>
          <w:tblCellMar>
            <w:top w:w="0" w:type="dxa"/>
            <w:left w:w="108" w:type="dxa"/>
            <w:bottom w:w="0" w:type="dxa"/>
            <w:right w:w="108" w:type="dxa"/>
          </w:tblCellMar>
        </w:tblPrEx>
        <w:trPr>
          <w:cantSplit/>
          <w:trHeight w:val="2136" w:hRule="atLeast"/>
        </w:trPr>
        <w:tc>
          <w:tcPr>
            <w:tcW w:w="374"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362"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其他</w:t>
            </w:r>
          </w:p>
        </w:tc>
        <w:tc>
          <w:tcPr>
            <w:tcW w:w="60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p>
        </w:tc>
        <w:tc>
          <w:tcPr>
            <w:tcW w:w="704"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p>
        </w:tc>
        <w:tc>
          <w:tcPr>
            <w:tcW w:w="365"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246"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461"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881"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1001"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r>
      <w:tr>
        <w:tblPrEx>
          <w:tblCellMar>
            <w:top w:w="0" w:type="dxa"/>
            <w:left w:w="108" w:type="dxa"/>
            <w:bottom w:w="0" w:type="dxa"/>
            <w:right w:w="108" w:type="dxa"/>
          </w:tblCellMar>
        </w:tblPrEx>
        <w:trPr>
          <w:cantSplit/>
          <w:trHeight w:val="479" w:hRule="atLeast"/>
        </w:trPr>
        <w:tc>
          <w:tcPr>
            <w:tcW w:w="5000" w:type="pct"/>
            <w:gridSpan w:val="9"/>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二</w:t>
            </w:r>
            <w:r>
              <w:rPr>
                <w:rFonts w:ascii="宋体" w:hAnsi="宋体" w:cs="宋体"/>
                <w:color w:val="auto"/>
                <w:kern w:val="0"/>
                <w:sz w:val="24"/>
              </w:rPr>
              <w:t>、</w:t>
            </w:r>
            <w:r>
              <w:rPr>
                <w:rFonts w:hint="eastAsia" w:ascii="宋体" w:hAnsi="宋体" w:cs="宋体"/>
                <w:color w:val="auto"/>
                <w:kern w:val="0"/>
                <w:sz w:val="24"/>
              </w:rPr>
              <w:t>整体绩效目标实现情况（</w:t>
            </w:r>
            <w:r>
              <w:rPr>
                <w:rFonts w:ascii="宋体" w:hAnsi="宋体" w:cs="宋体"/>
                <w:color w:val="auto"/>
                <w:kern w:val="0"/>
                <w:sz w:val="24"/>
              </w:rPr>
              <w:t>60分）</w:t>
            </w:r>
          </w:p>
        </w:tc>
      </w:tr>
      <w:tr>
        <w:tblPrEx>
          <w:tblCellMar>
            <w:top w:w="0" w:type="dxa"/>
            <w:left w:w="108" w:type="dxa"/>
            <w:bottom w:w="0" w:type="dxa"/>
            <w:right w:w="108" w:type="dxa"/>
          </w:tblCellMar>
        </w:tblPrEx>
        <w:trPr>
          <w:cantSplit/>
          <w:trHeight w:val="499" w:hRule="atLeast"/>
        </w:trPr>
        <w:tc>
          <w:tcPr>
            <w:tcW w:w="374"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一</w:t>
            </w:r>
            <w:r>
              <w:rPr>
                <w:rFonts w:ascii="宋体" w:hAnsi="宋体" w:cs="宋体"/>
                <w:color w:val="auto"/>
                <w:kern w:val="0"/>
                <w:sz w:val="24"/>
              </w:rPr>
              <w:t>级指标</w:t>
            </w:r>
          </w:p>
        </w:tc>
        <w:tc>
          <w:tcPr>
            <w:tcW w:w="362"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二</w:t>
            </w:r>
            <w:r>
              <w:rPr>
                <w:rFonts w:ascii="宋体" w:hAnsi="宋体" w:cs="宋体"/>
                <w:color w:val="auto"/>
                <w:kern w:val="0"/>
                <w:sz w:val="24"/>
              </w:rPr>
              <w:t>级指标</w:t>
            </w:r>
          </w:p>
        </w:tc>
        <w:tc>
          <w:tcPr>
            <w:tcW w:w="60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三</w:t>
            </w:r>
            <w:r>
              <w:rPr>
                <w:rFonts w:ascii="宋体" w:hAnsi="宋体" w:cs="宋体"/>
                <w:color w:val="auto"/>
                <w:kern w:val="0"/>
                <w:sz w:val="24"/>
              </w:rPr>
              <w:t>级指标</w:t>
            </w:r>
          </w:p>
        </w:tc>
        <w:tc>
          <w:tcPr>
            <w:tcW w:w="704"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指标值</w:t>
            </w:r>
          </w:p>
        </w:tc>
        <w:tc>
          <w:tcPr>
            <w:tcW w:w="365"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完成值</w:t>
            </w:r>
          </w:p>
        </w:tc>
        <w:tc>
          <w:tcPr>
            <w:tcW w:w="24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分值</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得分</w:t>
            </w:r>
          </w:p>
        </w:tc>
        <w:tc>
          <w:tcPr>
            <w:tcW w:w="88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bCs/>
                <w:color w:val="auto"/>
                <w:kern w:val="0"/>
                <w:sz w:val="24"/>
              </w:rPr>
            </w:pPr>
            <w:r>
              <w:rPr>
                <w:rFonts w:hint="eastAsia" w:ascii="宋体" w:hAnsi="宋体" w:cs="宋体"/>
                <w:bCs/>
                <w:color w:val="auto"/>
                <w:kern w:val="0"/>
                <w:sz w:val="24"/>
              </w:rPr>
              <w:t>指标</w:t>
            </w:r>
            <w:r>
              <w:rPr>
                <w:rFonts w:ascii="宋体" w:hAnsi="宋体" w:cs="宋体"/>
                <w:bCs/>
                <w:color w:val="auto"/>
                <w:kern w:val="0"/>
                <w:sz w:val="24"/>
              </w:rPr>
              <w:t>解释</w:t>
            </w:r>
          </w:p>
        </w:tc>
        <w:tc>
          <w:tcPr>
            <w:tcW w:w="100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评</w:t>
            </w:r>
            <w:r>
              <w:rPr>
                <w:rFonts w:ascii="宋体" w:hAnsi="宋体" w:cs="宋体"/>
                <w:color w:val="auto"/>
                <w:kern w:val="0"/>
                <w:sz w:val="24"/>
              </w:rPr>
              <w:t>分标准</w:t>
            </w:r>
          </w:p>
        </w:tc>
      </w:tr>
      <w:tr>
        <w:tblPrEx>
          <w:tblCellMar>
            <w:top w:w="0" w:type="dxa"/>
            <w:left w:w="108" w:type="dxa"/>
            <w:bottom w:w="0" w:type="dxa"/>
            <w:right w:w="108" w:type="dxa"/>
          </w:tblCellMar>
        </w:tblPrEx>
        <w:trPr>
          <w:cantSplit/>
          <w:trHeight w:val="3912" w:hRule="atLeast"/>
        </w:trPr>
        <w:tc>
          <w:tcPr>
            <w:tcW w:w="374" w:type="pct"/>
            <w:vMerge w:val="restar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整体绩效目标实现情况（</w:t>
            </w:r>
            <w:r>
              <w:rPr>
                <w:rFonts w:ascii="宋体" w:hAnsi="宋体" w:cs="宋体"/>
                <w:color w:val="auto"/>
                <w:kern w:val="0"/>
                <w:sz w:val="24"/>
              </w:rPr>
              <w:t>60）</w:t>
            </w:r>
          </w:p>
        </w:tc>
        <w:tc>
          <w:tcPr>
            <w:tcW w:w="362" w:type="pct"/>
            <w:vMerge w:val="restar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p>
          <w:p>
            <w:pPr>
              <w:pageBreakBefore w:val="0"/>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产出（</w:t>
            </w:r>
            <w:r>
              <w:rPr>
                <w:rFonts w:ascii="宋体" w:hAnsi="宋体" w:cs="宋体"/>
                <w:color w:val="auto"/>
                <w:kern w:val="0"/>
                <w:sz w:val="24"/>
              </w:rPr>
              <w:t>30）</w:t>
            </w:r>
          </w:p>
        </w:tc>
        <w:tc>
          <w:tcPr>
            <w:tcW w:w="60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p>
          <w:p>
            <w:pPr>
              <w:pageBreakBefore w:val="0"/>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产出数量</w:t>
            </w:r>
          </w:p>
        </w:tc>
        <w:tc>
          <w:tcPr>
            <w:tcW w:w="704" w:type="pct"/>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olor w:val="auto"/>
                <w:sz w:val="24"/>
              </w:rPr>
              <w:t>完成各项年度工作任务</w:t>
            </w:r>
          </w:p>
        </w:tc>
        <w:tc>
          <w:tcPr>
            <w:tcW w:w="365" w:type="pct"/>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完成</w:t>
            </w:r>
          </w:p>
        </w:tc>
        <w:tc>
          <w:tcPr>
            <w:tcW w:w="246" w:type="pct"/>
            <w:vMerge w:val="restart"/>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30</w:t>
            </w:r>
          </w:p>
        </w:tc>
        <w:tc>
          <w:tcPr>
            <w:tcW w:w="461" w:type="pct"/>
            <w:vMerge w:val="restart"/>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29</w:t>
            </w:r>
          </w:p>
        </w:tc>
        <w:tc>
          <w:tcPr>
            <w:tcW w:w="881" w:type="pct"/>
            <w:vMerge w:val="restar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b/>
                <w:bCs/>
                <w:color w:val="auto"/>
                <w:kern w:val="0"/>
                <w:sz w:val="24"/>
              </w:rPr>
              <w:t>产出数量</w:t>
            </w:r>
            <w:r>
              <w:rPr>
                <w:rFonts w:hint="eastAsia" w:ascii="宋体" w:hAnsi="宋体" w:cs="宋体"/>
                <w:color w:val="auto"/>
                <w:kern w:val="0"/>
                <w:sz w:val="24"/>
              </w:rPr>
              <w:t>：计划完成率</w:t>
            </w:r>
            <w:r>
              <w:rPr>
                <w:rFonts w:ascii="宋体" w:hAnsi="宋体" w:cs="宋体"/>
                <w:color w:val="auto"/>
                <w:kern w:val="0"/>
                <w:sz w:val="24"/>
              </w:rPr>
              <w:t>=（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auto"/>
                <w:kern w:val="0"/>
                <w:sz w:val="24"/>
              </w:rPr>
              <w:t>产出质量</w:t>
            </w:r>
            <w:r>
              <w:rPr>
                <w:rFonts w:hint="eastAsia" w:ascii="宋体" w:hAnsi="宋体" w:cs="宋体"/>
                <w:color w:val="auto"/>
                <w:kern w:val="0"/>
                <w:sz w:val="24"/>
              </w:rPr>
              <w:t>：质量达标率</w:t>
            </w:r>
            <w:r>
              <w:rPr>
                <w:rFonts w:ascii="宋体" w:hAnsi="宋体" w:cs="宋体"/>
                <w:color w:val="auto"/>
                <w:kern w:val="0"/>
                <w:sz w:val="24"/>
              </w:rPr>
              <w:t>=质量达标工作数/实际完成工作数×100%。质量达标工作数：一定时期（年度或规划期）内部门（单位）实际完成工作数中达到部门绩效目标要求（绩效标准值）的工作任务数量。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auto"/>
                <w:kern w:val="0"/>
                <w:sz w:val="24"/>
              </w:rPr>
              <w:t>产出进度：</w:t>
            </w:r>
            <w:r>
              <w:rPr>
                <w:rFonts w:hint="eastAsia" w:ascii="宋体" w:hAnsi="宋体" w:cs="宋体"/>
                <w:color w:val="auto"/>
                <w:kern w:val="0"/>
                <w:sz w:val="24"/>
              </w:rPr>
              <w:t>按时完成率</w:t>
            </w:r>
            <w:r>
              <w:rPr>
                <w:rFonts w:ascii="宋体" w:hAnsi="宋体" w:cs="宋体"/>
                <w:color w:val="auto"/>
                <w:kern w:val="0"/>
                <w:sz w:val="24"/>
              </w:rPr>
              <w:t>=（按时完成工作数/实际完成工作数）×100%。按时完成工作数：部门（单位）按照整体绩效目标确定的时限实际完成的工作任务数量。</w:t>
            </w:r>
            <w:r>
              <w:rPr>
                <w:rFonts w:hint="eastAsia" w:ascii="宋体" w:hAnsi="宋体" w:cs="宋体"/>
                <w:b/>
                <w:bCs/>
                <w:color w:val="auto"/>
                <w:kern w:val="0"/>
                <w:sz w:val="24"/>
              </w:rPr>
              <w:t>产出成本</w:t>
            </w:r>
            <w:r>
              <w:rPr>
                <w:rFonts w:hint="eastAsia" w:ascii="宋体" w:hAnsi="宋体" w:cs="宋体"/>
                <w:color w:val="auto"/>
                <w:kern w:val="0"/>
                <w:sz w:val="24"/>
              </w:rPr>
              <w:t>：单位产出相对于上一年度的节约额；②单位产出相对于市场同类产出的节约额；③部门公用经费的控制情况。</w:t>
            </w:r>
          </w:p>
        </w:tc>
        <w:tc>
          <w:tcPr>
            <w:tcW w:w="1001" w:type="pct"/>
            <w:vMerge w:val="restar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部门根据本单位情况自行确定并选择产出指标，合理确定各项指标权重。可量化的指标按照比率</w:t>
            </w:r>
            <w:r>
              <w:rPr>
                <w:rFonts w:ascii="宋体" w:hAnsi="宋体" w:cs="宋体"/>
                <w:color w:val="auto"/>
                <w:kern w:val="0"/>
                <w:sz w:val="24"/>
              </w:rPr>
              <w:t>*单项指标分值即为该指标得分。如果不能定量评价，则以定性的方式进行自评。</w:t>
            </w:r>
          </w:p>
        </w:tc>
      </w:tr>
      <w:tr>
        <w:tblPrEx>
          <w:tblCellMar>
            <w:top w:w="0" w:type="dxa"/>
            <w:left w:w="108" w:type="dxa"/>
            <w:bottom w:w="0" w:type="dxa"/>
            <w:right w:w="108" w:type="dxa"/>
          </w:tblCellMar>
        </w:tblPrEx>
        <w:trPr>
          <w:cantSplit/>
          <w:trHeight w:val="1130" w:hRule="atLeast"/>
        </w:trPr>
        <w:tc>
          <w:tcPr>
            <w:tcW w:w="374"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362"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60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产出质量</w:t>
            </w:r>
          </w:p>
        </w:tc>
        <w:tc>
          <w:tcPr>
            <w:tcW w:w="704"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olor w:val="auto"/>
                <w:sz w:val="24"/>
              </w:rPr>
              <w:t>根据各项任务要求，保质保量完成</w:t>
            </w:r>
          </w:p>
        </w:tc>
        <w:tc>
          <w:tcPr>
            <w:tcW w:w="365"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完成</w:t>
            </w:r>
          </w:p>
        </w:tc>
        <w:tc>
          <w:tcPr>
            <w:tcW w:w="246"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461" w:type="pct"/>
            <w:vMerge w:val="continue"/>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autoSpaceDE/>
              <w:autoSpaceDN/>
              <w:bidi w:val="0"/>
              <w:spacing w:line="560" w:lineRule="exact"/>
              <w:jc w:val="center"/>
              <w:textAlignment w:val="auto"/>
              <w:rPr>
                <w:rFonts w:ascii="宋体" w:hAnsi="宋体" w:cs="宋体"/>
                <w:color w:val="auto"/>
                <w:kern w:val="0"/>
                <w:sz w:val="24"/>
              </w:rPr>
            </w:pPr>
          </w:p>
        </w:tc>
        <w:tc>
          <w:tcPr>
            <w:tcW w:w="881"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1001"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r>
      <w:tr>
        <w:tblPrEx>
          <w:tblCellMar>
            <w:top w:w="0" w:type="dxa"/>
            <w:left w:w="108" w:type="dxa"/>
            <w:bottom w:w="0" w:type="dxa"/>
            <w:right w:w="108" w:type="dxa"/>
          </w:tblCellMar>
        </w:tblPrEx>
        <w:trPr>
          <w:cantSplit/>
          <w:trHeight w:val="2381" w:hRule="atLeast"/>
        </w:trPr>
        <w:tc>
          <w:tcPr>
            <w:tcW w:w="374"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362"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60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产出进度</w:t>
            </w:r>
          </w:p>
        </w:tc>
        <w:tc>
          <w:tcPr>
            <w:tcW w:w="704"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olor w:val="auto"/>
                <w:sz w:val="24"/>
              </w:rPr>
              <w:t>按照预算批复，完成全年收支指标及工作任务。根据市财政进度要求执行。</w:t>
            </w:r>
          </w:p>
        </w:tc>
        <w:tc>
          <w:tcPr>
            <w:tcW w:w="365"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完成</w:t>
            </w:r>
          </w:p>
        </w:tc>
        <w:tc>
          <w:tcPr>
            <w:tcW w:w="246"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461" w:type="pct"/>
            <w:vMerge w:val="continue"/>
            <w:tcBorders>
              <w:top w:val="single" w:color="auto" w:sz="4" w:space="0"/>
              <w:left w:val="single" w:color="auto" w:sz="4" w:space="0"/>
              <w:bottom w:val="single" w:color="auto" w:sz="4" w:space="0"/>
              <w:right w:val="single" w:color="auto" w:sz="4" w:space="0"/>
            </w:tcBorders>
            <w:noWrap/>
            <w:vAlign w:val="center"/>
          </w:tcPr>
          <w:p>
            <w:pPr>
              <w:pageBreakBefore w:val="0"/>
              <w:kinsoku/>
              <w:wordWrap/>
              <w:overflowPunct/>
              <w:topLinePunct w:val="0"/>
              <w:autoSpaceDE/>
              <w:autoSpaceDN/>
              <w:bidi w:val="0"/>
              <w:spacing w:line="560" w:lineRule="exact"/>
              <w:jc w:val="center"/>
              <w:textAlignment w:val="auto"/>
              <w:rPr>
                <w:rFonts w:ascii="宋体" w:hAnsi="宋体" w:cs="宋体"/>
                <w:color w:val="auto"/>
                <w:kern w:val="0"/>
                <w:sz w:val="24"/>
              </w:rPr>
            </w:pPr>
          </w:p>
        </w:tc>
        <w:tc>
          <w:tcPr>
            <w:tcW w:w="881"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1001"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r>
      <w:tr>
        <w:tblPrEx>
          <w:tblCellMar>
            <w:top w:w="0" w:type="dxa"/>
            <w:left w:w="108" w:type="dxa"/>
            <w:bottom w:w="0" w:type="dxa"/>
            <w:right w:w="108" w:type="dxa"/>
          </w:tblCellMar>
        </w:tblPrEx>
        <w:trPr>
          <w:cantSplit/>
          <w:trHeight w:val="975" w:hRule="atLeast"/>
        </w:trPr>
        <w:tc>
          <w:tcPr>
            <w:tcW w:w="374"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362"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60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textAlignment w:val="auto"/>
              <w:rPr>
                <w:rFonts w:ascii="宋体" w:hAnsi="宋体" w:cs="宋体"/>
                <w:color w:val="auto"/>
                <w:kern w:val="0"/>
                <w:sz w:val="24"/>
              </w:rPr>
            </w:pPr>
            <w:r>
              <w:rPr>
                <w:rFonts w:hint="eastAsia" w:ascii="宋体" w:hAnsi="宋体" w:cs="宋体"/>
                <w:color w:val="auto"/>
                <w:kern w:val="0"/>
                <w:sz w:val="24"/>
              </w:rPr>
              <w:t>产出成本</w:t>
            </w:r>
          </w:p>
        </w:tc>
        <w:tc>
          <w:tcPr>
            <w:tcW w:w="704"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olor w:val="auto"/>
                <w:sz w:val="24"/>
              </w:rPr>
              <w:t>严格按照要求编制预算，严格执行预算，少花钱多办事，严格控制实施成本。</w:t>
            </w:r>
          </w:p>
        </w:tc>
        <w:tc>
          <w:tcPr>
            <w:tcW w:w="365"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完成</w:t>
            </w:r>
          </w:p>
        </w:tc>
        <w:tc>
          <w:tcPr>
            <w:tcW w:w="246"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461" w:type="pct"/>
            <w:vMerge w:val="continue"/>
            <w:tcBorders>
              <w:top w:val="single" w:color="auto" w:sz="4" w:space="0"/>
              <w:left w:val="single" w:color="auto" w:sz="4" w:space="0"/>
              <w:bottom w:val="single" w:color="auto" w:sz="4" w:space="0"/>
              <w:right w:val="single" w:color="auto" w:sz="4" w:space="0"/>
            </w:tcBorders>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p>
        </w:tc>
        <w:tc>
          <w:tcPr>
            <w:tcW w:w="881"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1001"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r>
      <w:tr>
        <w:tblPrEx>
          <w:tblCellMar>
            <w:top w:w="0" w:type="dxa"/>
            <w:left w:w="108" w:type="dxa"/>
            <w:bottom w:w="0" w:type="dxa"/>
            <w:right w:w="108" w:type="dxa"/>
          </w:tblCellMar>
        </w:tblPrEx>
        <w:trPr>
          <w:cantSplit/>
          <w:trHeight w:val="675" w:hRule="atLeast"/>
        </w:trPr>
        <w:tc>
          <w:tcPr>
            <w:tcW w:w="374"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362" w:type="pct"/>
            <w:vMerge w:val="restar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效果（</w:t>
            </w:r>
            <w:r>
              <w:rPr>
                <w:rFonts w:ascii="宋体" w:hAnsi="宋体" w:cs="宋体"/>
                <w:color w:val="auto"/>
                <w:kern w:val="0"/>
                <w:sz w:val="24"/>
              </w:rPr>
              <w:t>30）</w:t>
            </w:r>
          </w:p>
        </w:tc>
        <w:tc>
          <w:tcPr>
            <w:tcW w:w="60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社会效益</w:t>
            </w:r>
          </w:p>
        </w:tc>
        <w:tc>
          <w:tcPr>
            <w:tcW w:w="704"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显著</w:t>
            </w:r>
          </w:p>
        </w:tc>
        <w:tc>
          <w:tcPr>
            <w:tcW w:w="365"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完成</w:t>
            </w:r>
          </w:p>
        </w:tc>
        <w:tc>
          <w:tcPr>
            <w:tcW w:w="246" w:type="pct"/>
            <w:vMerge w:val="restart"/>
            <w:tcBorders>
              <w:top w:val="single" w:color="auto" w:sz="4" w:space="0"/>
              <w:left w:val="single" w:color="auto" w:sz="4" w:space="0"/>
              <w:bottom w:val="single" w:color="auto" w:sz="4" w:space="0"/>
              <w:right w:val="single" w:color="auto" w:sz="4" w:space="0"/>
            </w:tcBorders>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30</w:t>
            </w:r>
          </w:p>
        </w:tc>
        <w:tc>
          <w:tcPr>
            <w:tcW w:w="461" w:type="pct"/>
            <w:tcBorders>
              <w:top w:val="single" w:color="auto" w:sz="4" w:space="0"/>
              <w:left w:val="single" w:color="auto" w:sz="4" w:space="0"/>
              <w:bottom w:val="single" w:color="auto" w:sz="4" w:space="0"/>
              <w:right w:val="single" w:color="auto" w:sz="4" w:space="0"/>
            </w:tcBorders>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10</w:t>
            </w:r>
          </w:p>
        </w:tc>
        <w:tc>
          <w:tcPr>
            <w:tcW w:w="881" w:type="pct"/>
            <w:vMerge w:val="restar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b/>
                <w:bCs/>
                <w:color w:val="auto"/>
                <w:kern w:val="0"/>
                <w:sz w:val="24"/>
              </w:rPr>
              <w:t>经济效益</w:t>
            </w:r>
            <w:r>
              <w:rPr>
                <w:rFonts w:hint="eastAsia" w:ascii="宋体" w:hAnsi="宋体" w:cs="宋体"/>
                <w:color w:val="auto"/>
                <w:kern w:val="0"/>
                <w:sz w:val="24"/>
              </w:rPr>
              <w:t>：部门（单位）履行职责对经济发展所带来的直接或间接影响。</w:t>
            </w:r>
            <w:r>
              <w:rPr>
                <w:rFonts w:hint="eastAsia" w:ascii="宋体" w:hAnsi="宋体" w:cs="宋体"/>
                <w:b/>
                <w:bCs/>
                <w:color w:val="auto"/>
                <w:kern w:val="0"/>
                <w:sz w:val="24"/>
              </w:rPr>
              <w:t>社会效益</w:t>
            </w:r>
            <w:r>
              <w:rPr>
                <w:rFonts w:hint="eastAsia" w:ascii="宋体" w:hAnsi="宋体" w:cs="宋体"/>
                <w:color w:val="auto"/>
                <w:kern w:val="0"/>
                <w:sz w:val="24"/>
              </w:rPr>
              <w:t>：部门（单位）履行职责对社会发展所带来的直接或间接影响。</w:t>
            </w:r>
            <w:r>
              <w:rPr>
                <w:rFonts w:hint="eastAsia" w:ascii="宋体" w:hAnsi="宋体" w:cs="宋体"/>
                <w:b/>
                <w:bCs/>
                <w:color w:val="auto"/>
                <w:kern w:val="0"/>
                <w:sz w:val="24"/>
              </w:rPr>
              <w:t>环境效益</w:t>
            </w:r>
            <w:r>
              <w:rPr>
                <w:rFonts w:hint="eastAsia" w:ascii="宋体" w:hAnsi="宋体" w:cs="宋体"/>
                <w:color w:val="auto"/>
                <w:kern w:val="0"/>
                <w:sz w:val="24"/>
              </w:rPr>
              <w:t>：部门（单位）履行职责对环境所带来的直接或间接影响。</w:t>
            </w:r>
            <w:r>
              <w:rPr>
                <w:rFonts w:hint="eastAsia" w:ascii="宋体" w:hAnsi="宋体" w:cs="宋体"/>
                <w:b/>
                <w:bCs/>
                <w:color w:val="auto"/>
                <w:kern w:val="0"/>
                <w:sz w:val="24"/>
              </w:rPr>
              <w:t>可持续性影响：</w:t>
            </w:r>
            <w:r>
              <w:rPr>
                <w:rFonts w:hint="eastAsia" w:ascii="宋体" w:hAnsi="宋体" w:cs="宋体"/>
                <w:color w:val="auto"/>
                <w:kern w:val="0"/>
                <w:sz w:val="24"/>
              </w:rPr>
              <w:t>部门绩效目标实现的长效机制建设情况，部门工作效率提升措施的创新。</w:t>
            </w:r>
            <w:r>
              <w:rPr>
                <w:rFonts w:hint="eastAsia" w:ascii="宋体" w:hAnsi="宋体" w:cs="宋体"/>
                <w:b/>
                <w:bCs/>
                <w:color w:val="auto"/>
                <w:kern w:val="0"/>
                <w:sz w:val="24"/>
              </w:rPr>
              <w:t>服务对象满意度</w:t>
            </w:r>
            <w:r>
              <w:rPr>
                <w:rFonts w:hint="eastAsia" w:ascii="宋体" w:hAnsi="宋体" w:cs="宋体"/>
                <w:color w:val="auto"/>
                <w:kern w:val="0"/>
                <w:sz w:val="24"/>
              </w:rPr>
              <w:t>：部门（单位）的服务对象对部门履职效果的满意程度。</w:t>
            </w:r>
          </w:p>
        </w:tc>
        <w:tc>
          <w:tcPr>
            <w:tcW w:w="1001" w:type="pct"/>
            <w:vMerge w:val="restar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cantSplit/>
          <w:trHeight w:val="630" w:hRule="atLeast"/>
        </w:trPr>
        <w:tc>
          <w:tcPr>
            <w:tcW w:w="374"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362"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60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可持续性影响</w:t>
            </w:r>
          </w:p>
        </w:tc>
        <w:tc>
          <w:tcPr>
            <w:tcW w:w="704"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构建外事工作的长效机制</w:t>
            </w:r>
          </w:p>
        </w:tc>
        <w:tc>
          <w:tcPr>
            <w:tcW w:w="365"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完成</w:t>
            </w:r>
          </w:p>
        </w:tc>
        <w:tc>
          <w:tcPr>
            <w:tcW w:w="246"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461" w:type="pct"/>
            <w:tcBorders>
              <w:top w:val="single" w:color="auto" w:sz="4" w:space="0"/>
              <w:left w:val="single" w:color="auto" w:sz="4" w:space="0"/>
              <w:bottom w:val="single" w:color="auto" w:sz="4" w:space="0"/>
              <w:right w:val="single" w:color="auto" w:sz="4" w:space="0"/>
            </w:tcBorders>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10</w:t>
            </w:r>
          </w:p>
        </w:tc>
        <w:tc>
          <w:tcPr>
            <w:tcW w:w="881"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1001"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r>
      <w:tr>
        <w:tblPrEx>
          <w:tblCellMar>
            <w:top w:w="0" w:type="dxa"/>
            <w:left w:w="108" w:type="dxa"/>
            <w:bottom w:w="0" w:type="dxa"/>
            <w:right w:w="108" w:type="dxa"/>
          </w:tblCellMar>
        </w:tblPrEx>
        <w:trPr>
          <w:cantSplit/>
          <w:trHeight w:val="690" w:hRule="atLeast"/>
        </w:trPr>
        <w:tc>
          <w:tcPr>
            <w:tcW w:w="374"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362"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60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服务对象满意度</w:t>
            </w:r>
          </w:p>
        </w:tc>
        <w:tc>
          <w:tcPr>
            <w:tcW w:w="704"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达到预期</w:t>
            </w:r>
          </w:p>
        </w:tc>
        <w:tc>
          <w:tcPr>
            <w:tcW w:w="365"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完成</w:t>
            </w:r>
          </w:p>
        </w:tc>
        <w:tc>
          <w:tcPr>
            <w:tcW w:w="246"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461" w:type="pct"/>
            <w:tcBorders>
              <w:top w:val="single" w:color="auto" w:sz="4" w:space="0"/>
              <w:left w:val="single" w:color="auto" w:sz="4" w:space="0"/>
              <w:bottom w:val="single" w:color="auto" w:sz="4" w:space="0"/>
              <w:right w:val="single" w:color="auto" w:sz="4" w:space="0"/>
            </w:tcBorders>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9</w:t>
            </w:r>
          </w:p>
        </w:tc>
        <w:tc>
          <w:tcPr>
            <w:tcW w:w="881"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1001"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r>
      <w:tr>
        <w:tblPrEx>
          <w:tblCellMar>
            <w:top w:w="0" w:type="dxa"/>
            <w:left w:w="108" w:type="dxa"/>
            <w:bottom w:w="0" w:type="dxa"/>
            <w:right w:w="108" w:type="dxa"/>
          </w:tblCellMar>
        </w:tblPrEx>
        <w:trPr>
          <w:cantSplit/>
          <w:trHeight w:val="487" w:hRule="atLeast"/>
        </w:trPr>
        <w:tc>
          <w:tcPr>
            <w:tcW w:w="5000" w:type="pct"/>
            <w:gridSpan w:val="9"/>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三</w:t>
            </w:r>
            <w:r>
              <w:rPr>
                <w:rFonts w:ascii="宋体" w:hAnsi="宋体" w:cs="宋体"/>
                <w:color w:val="auto"/>
                <w:kern w:val="0"/>
                <w:sz w:val="24"/>
              </w:rPr>
              <w:t>、</w:t>
            </w:r>
            <w:r>
              <w:rPr>
                <w:rFonts w:hint="eastAsia" w:ascii="宋体" w:hAnsi="宋体" w:cs="宋体"/>
                <w:color w:val="auto"/>
                <w:kern w:val="0"/>
                <w:sz w:val="24"/>
              </w:rPr>
              <w:t>预算管理情况（</w:t>
            </w:r>
            <w:r>
              <w:rPr>
                <w:rFonts w:ascii="宋体" w:hAnsi="宋体" w:cs="宋体"/>
                <w:color w:val="auto"/>
                <w:kern w:val="0"/>
                <w:sz w:val="24"/>
              </w:rPr>
              <w:t>20分）</w:t>
            </w:r>
          </w:p>
        </w:tc>
      </w:tr>
      <w:tr>
        <w:tblPrEx>
          <w:tblCellMar>
            <w:top w:w="0" w:type="dxa"/>
            <w:left w:w="108" w:type="dxa"/>
            <w:bottom w:w="0" w:type="dxa"/>
            <w:right w:w="108" w:type="dxa"/>
          </w:tblCellMar>
        </w:tblPrEx>
        <w:trPr>
          <w:cantSplit/>
          <w:trHeight w:val="702" w:hRule="atLeast"/>
        </w:trPr>
        <w:tc>
          <w:tcPr>
            <w:tcW w:w="374"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一</w:t>
            </w:r>
            <w:r>
              <w:rPr>
                <w:rFonts w:ascii="宋体" w:hAnsi="宋体" w:cs="宋体"/>
                <w:color w:val="auto"/>
                <w:kern w:val="0"/>
                <w:sz w:val="24"/>
              </w:rPr>
              <w:t>级指标</w:t>
            </w:r>
          </w:p>
        </w:tc>
        <w:tc>
          <w:tcPr>
            <w:tcW w:w="362"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二</w:t>
            </w:r>
            <w:r>
              <w:rPr>
                <w:rFonts w:ascii="宋体" w:hAnsi="宋体" w:cs="宋体"/>
                <w:color w:val="auto"/>
                <w:kern w:val="0"/>
                <w:sz w:val="24"/>
              </w:rPr>
              <w:t>级指标</w:t>
            </w:r>
          </w:p>
        </w:tc>
        <w:tc>
          <w:tcPr>
            <w:tcW w:w="60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三</w:t>
            </w:r>
            <w:r>
              <w:rPr>
                <w:rFonts w:ascii="宋体" w:hAnsi="宋体" w:cs="宋体"/>
                <w:color w:val="auto"/>
                <w:kern w:val="0"/>
                <w:sz w:val="24"/>
              </w:rPr>
              <w:t>级指标</w:t>
            </w:r>
          </w:p>
        </w:tc>
        <w:tc>
          <w:tcPr>
            <w:tcW w:w="704"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指标</w:t>
            </w:r>
            <w:r>
              <w:rPr>
                <w:rFonts w:ascii="宋体" w:hAnsi="宋体" w:cs="宋体"/>
                <w:color w:val="auto"/>
                <w:kern w:val="0"/>
                <w:sz w:val="24"/>
              </w:rPr>
              <w:t>值</w:t>
            </w:r>
          </w:p>
        </w:tc>
        <w:tc>
          <w:tcPr>
            <w:tcW w:w="365"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完成</w:t>
            </w:r>
            <w:r>
              <w:rPr>
                <w:rFonts w:ascii="宋体" w:hAnsi="宋体" w:cs="宋体"/>
                <w:color w:val="auto"/>
                <w:kern w:val="0"/>
                <w:sz w:val="24"/>
              </w:rPr>
              <w:t>值</w:t>
            </w:r>
          </w:p>
        </w:tc>
        <w:tc>
          <w:tcPr>
            <w:tcW w:w="246" w:type="pct"/>
            <w:tcBorders>
              <w:top w:val="single" w:color="auto" w:sz="4" w:space="0"/>
              <w:left w:val="single" w:color="auto" w:sz="4" w:space="0"/>
              <w:bottom w:val="single" w:color="auto" w:sz="4" w:space="0"/>
              <w:right w:val="single" w:color="auto" w:sz="4" w:space="0"/>
            </w:tcBorders>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分</w:t>
            </w:r>
            <w:r>
              <w:rPr>
                <w:rFonts w:ascii="宋体" w:hAnsi="宋体" w:cs="宋体"/>
                <w:color w:val="auto"/>
                <w:kern w:val="0"/>
                <w:sz w:val="24"/>
              </w:rPr>
              <w:t>值</w:t>
            </w:r>
          </w:p>
        </w:tc>
        <w:tc>
          <w:tcPr>
            <w:tcW w:w="461" w:type="pct"/>
            <w:tcBorders>
              <w:top w:val="single" w:color="auto" w:sz="4" w:space="0"/>
              <w:left w:val="single" w:color="auto" w:sz="4" w:space="0"/>
              <w:bottom w:val="single" w:color="auto" w:sz="4" w:space="0"/>
              <w:right w:val="single" w:color="auto" w:sz="4" w:space="0"/>
            </w:tcBorders>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得</w:t>
            </w:r>
            <w:r>
              <w:rPr>
                <w:rFonts w:ascii="宋体" w:hAnsi="宋体" w:cs="宋体"/>
                <w:color w:val="auto"/>
                <w:kern w:val="0"/>
                <w:sz w:val="24"/>
              </w:rPr>
              <w:t>分</w:t>
            </w:r>
          </w:p>
        </w:tc>
        <w:tc>
          <w:tcPr>
            <w:tcW w:w="88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b/>
                <w:bCs/>
                <w:color w:val="auto"/>
                <w:kern w:val="0"/>
                <w:sz w:val="24"/>
              </w:rPr>
            </w:pPr>
            <w:r>
              <w:rPr>
                <w:rFonts w:hint="eastAsia" w:ascii="宋体" w:hAnsi="宋体" w:cs="宋体"/>
                <w:bCs/>
                <w:color w:val="auto"/>
                <w:kern w:val="0"/>
                <w:sz w:val="24"/>
              </w:rPr>
              <w:t>指标</w:t>
            </w:r>
            <w:r>
              <w:rPr>
                <w:rFonts w:ascii="宋体" w:hAnsi="宋体" w:cs="宋体"/>
                <w:bCs/>
                <w:color w:val="auto"/>
                <w:kern w:val="0"/>
                <w:sz w:val="24"/>
              </w:rPr>
              <w:t>解释</w:t>
            </w:r>
          </w:p>
        </w:tc>
        <w:tc>
          <w:tcPr>
            <w:tcW w:w="100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评</w:t>
            </w:r>
            <w:r>
              <w:rPr>
                <w:rFonts w:ascii="宋体" w:hAnsi="宋体" w:cs="宋体"/>
                <w:color w:val="auto"/>
                <w:kern w:val="0"/>
                <w:sz w:val="24"/>
              </w:rPr>
              <w:t>分标准</w:t>
            </w:r>
          </w:p>
        </w:tc>
      </w:tr>
      <w:tr>
        <w:tblPrEx>
          <w:tblCellMar>
            <w:top w:w="0" w:type="dxa"/>
            <w:left w:w="108" w:type="dxa"/>
            <w:bottom w:w="0" w:type="dxa"/>
            <w:right w:w="108" w:type="dxa"/>
          </w:tblCellMar>
        </w:tblPrEx>
        <w:trPr>
          <w:cantSplit/>
          <w:trHeight w:val="2381" w:hRule="atLeast"/>
        </w:trPr>
        <w:tc>
          <w:tcPr>
            <w:tcW w:w="374" w:type="pct"/>
            <w:vMerge w:val="restar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预算管理情况（</w:t>
            </w:r>
            <w:r>
              <w:rPr>
                <w:rFonts w:ascii="宋体" w:hAnsi="宋体" w:cs="宋体"/>
                <w:color w:val="auto"/>
                <w:kern w:val="0"/>
                <w:sz w:val="24"/>
              </w:rPr>
              <w:t>20）</w:t>
            </w:r>
          </w:p>
        </w:tc>
        <w:tc>
          <w:tcPr>
            <w:tcW w:w="362" w:type="pct"/>
            <w:vMerge w:val="restar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财务管理（</w:t>
            </w:r>
            <w:r>
              <w:rPr>
                <w:rFonts w:ascii="宋体" w:hAnsi="宋体" w:cs="宋体"/>
                <w:color w:val="auto"/>
                <w:kern w:val="0"/>
                <w:sz w:val="24"/>
              </w:rPr>
              <w:t>4）</w:t>
            </w:r>
          </w:p>
        </w:tc>
        <w:tc>
          <w:tcPr>
            <w:tcW w:w="60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财务管理制度健全性</w:t>
            </w:r>
          </w:p>
        </w:tc>
        <w:tc>
          <w:tcPr>
            <w:tcW w:w="704"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项目管理制度、财务管理制度等健全</w:t>
            </w:r>
          </w:p>
        </w:tc>
        <w:tc>
          <w:tcPr>
            <w:tcW w:w="365"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较健全　</w:t>
            </w:r>
          </w:p>
        </w:tc>
        <w:tc>
          <w:tcPr>
            <w:tcW w:w="246" w:type="pct"/>
            <w:tcBorders>
              <w:top w:val="single" w:color="auto" w:sz="4" w:space="0"/>
              <w:left w:val="single" w:color="auto" w:sz="4" w:space="0"/>
              <w:bottom w:val="single" w:color="auto" w:sz="4" w:space="0"/>
              <w:right w:val="single" w:color="auto" w:sz="4" w:space="0"/>
            </w:tcBorders>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1</w:t>
            </w:r>
          </w:p>
        </w:tc>
        <w:tc>
          <w:tcPr>
            <w:tcW w:w="461" w:type="pct"/>
            <w:tcBorders>
              <w:top w:val="single" w:color="auto" w:sz="4" w:space="0"/>
              <w:left w:val="single" w:color="auto" w:sz="4" w:space="0"/>
              <w:bottom w:val="single" w:color="auto" w:sz="4" w:space="0"/>
              <w:right w:val="single" w:color="auto" w:sz="4" w:space="0"/>
            </w:tcBorders>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0.8</w:t>
            </w:r>
          </w:p>
        </w:tc>
        <w:tc>
          <w:tcPr>
            <w:tcW w:w="88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b/>
                <w:bCs/>
                <w:color w:val="auto"/>
                <w:kern w:val="0"/>
                <w:sz w:val="24"/>
              </w:rPr>
              <w:t>财务管理制度健全性</w:t>
            </w:r>
            <w:r>
              <w:rPr>
                <w:rFonts w:ascii="宋体" w:hAnsi="宋体" w:cs="宋体"/>
                <w:b/>
                <w:bCs/>
                <w:color w:val="auto"/>
                <w:kern w:val="0"/>
                <w:sz w:val="24"/>
              </w:rPr>
              <w:t>:</w:t>
            </w:r>
            <w:r>
              <w:rPr>
                <w:rFonts w:hint="eastAsia" w:ascii="宋体" w:hAnsi="宋体" w:cs="宋体"/>
                <w:color w:val="auto"/>
                <w:kern w:val="0"/>
                <w:sz w:val="24"/>
              </w:rPr>
              <w:t>部门（单位）为加强财务管理、规范财务行为而制定的管理制度。</w:t>
            </w:r>
          </w:p>
        </w:tc>
        <w:tc>
          <w:tcPr>
            <w:tcW w:w="100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①预算资金管理办法、绩效跟踪管理办法、资产管理办法等各项制度是否健全；②部门内部财务管理制度是否完整、合规；③会计核算制度是否完整、合规。每有一项不合格扣</w:t>
            </w:r>
            <w:r>
              <w:rPr>
                <w:rFonts w:ascii="宋体" w:hAnsi="宋体" w:cs="宋体"/>
                <w:color w:val="auto"/>
                <w:kern w:val="0"/>
                <w:sz w:val="24"/>
              </w:rPr>
              <w:t>0.5分，扣完为止。</w:t>
            </w:r>
          </w:p>
        </w:tc>
      </w:tr>
      <w:tr>
        <w:tblPrEx>
          <w:tblCellMar>
            <w:top w:w="0" w:type="dxa"/>
            <w:left w:w="108" w:type="dxa"/>
            <w:bottom w:w="0" w:type="dxa"/>
            <w:right w:w="108" w:type="dxa"/>
          </w:tblCellMar>
        </w:tblPrEx>
        <w:trPr>
          <w:cantSplit/>
          <w:trHeight w:val="4876" w:hRule="atLeast"/>
        </w:trPr>
        <w:tc>
          <w:tcPr>
            <w:tcW w:w="374"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362"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60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资金使用合规性和安全性</w:t>
            </w:r>
          </w:p>
        </w:tc>
        <w:tc>
          <w:tcPr>
            <w:tcW w:w="704"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符合单位内、外部各项财经纪律、办法要求</w:t>
            </w:r>
          </w:p>
        </w:tc>
        <w:tc>
          <w:tcPr>
            <w:tcW w:w="365"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基本规范</w:t>
            </w:r>
          </w:p>
        </w:tc>
        <w:tc>
          <w:tcPr>
            <w:tcW w:w="246" w:type="pct"/>
            <w:tcBorders>
              <w:top w:val="single" w:color="auto" w:sz="4" w:space="0"/>
              <w:left w:val="single" w:color="auto" w:sz="4" w:space="0"/>
              <w:bottom w:val="single" w:color="auto" w:sz="4" w:space="0"/>
              <w:right w:val="single" w:color="auto" w:sz="4" w:space="0"/>
            </w:tcBorders>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1.5</w:t>
            </w:r>
          </w:p>
        </w:tc>
        <w:tc>
          <w:tcPr>
            <w:tcW w:w="461" w:type="pct"/>
            <w:tcBorders>
              <w:top w:val="single" w:color="auto" w:sz="4" w:space="0"/>
              <w:left w:val="single" w:color="auto" w:sz="4" w:space="0"/>
              <w:bottom w:val="single" w:color="auto" w:sz="4" w:space="0"/>
              <w:right w:val="single" w:color="auto" w:sz="4" w:space="0"/>
            </w:tcBorders>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1.5</w:t>
            </w:r>
          </w:p>
        </w:tc>
        <w:tc>
          <w:tcPr>
            <w:tcW w:w="88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b/>
                <w:bCs/>
                <w:color w:val="auto"/>
                <w:kern w:val="0"/>
                <w:sz w:val="24"/>
              </w:rPr>
              <w:t>资金使用合规性和安全性</w:t>
            </w:r>
            <w:r>
              <w:rPr>
                <w:rFonts w:ascii="宋体" w:hAnsi="宋体" w:cs="宋体"/>
                <w:b/>
                <w:bCs/>
                <w:color w:val="auto"/>
                <w:kern w:val="0"/>
                <w:sz w:val="24"/>
              </w:rPr>
              <w:t>:</w:t>
            </w:r>
            <w:r>
              <w:rPr>
                <w:rFonts w:hint="eastAsia" w:ascii="宋体" w:hAnsi="宋体" w:cs="宋体"/>
                <w:color w:val="auto"/>
                <w:kern w:val="0"/>
                <w:sz w:val="24"/>
              </w:rPr>
              <w:t>部门（单位）使用预算资金是否符合相关的预算财务管理制度的规定，是否符合相关规定的开支范围，用以反映考核部门（单位）预算资金的规范运行和安全运行情况。</w:t>
            </w:r>
          </w:p>
        </w:tc>
        <w:tc>
          <w:tcPr>
            <w:tcW w:w="100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w:t>
            </w:r>
            <w:r>
              <w:rPr>
                <w:rFonts w:ascii="宋体" w:hAnsi="宋体" w:cs="宋体"/>
                <w:color w:val="auto"/>
                <w:kern w:val="0"/>
                <w:sz w:val="24"/>
              </w:rPr>
              <w:t>0.5分，扣完为止。</w:t>
            </w:r>
          </w:p>
        </w:tc>
      </w:tr>
      <w:tr>
        <w:tblPrEx>
          <w:tblCellMar>
            <w:top w:w="0" w:type="dxa"/>
            <w:left w:w="108" w:type="dxa"/>
            <w:bottom w:w="0" w:type="dxa"/>
            <w:right w:w="108" w:type="dxa"/>
          </w:tblCellMar>
        </w:tblPrEx>
        <w:trPr>
          <w:cantSplit/>
          <w:trHeight w:val="2778" w:hRule="atLeast"/>
        </w:trPr>
        <w:tc>
          <w:tcPr>
            <w:tcW w:w="374"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362"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60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会计基础信息完善性</w:t>
            </w:r>
          </w:p>
        </w:tc>
        <w:tc>
          <w:tcPr>
            <w:tcW w:w="704"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符合会计基础规范</w:t>
            </w:r>
          </w:p>
        </w:tc>
        <w:tc>
          <w:tcPr>
            <w:tcW w:w="365"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符合要求</w:t>
            </w:r>
          </w:p>
        </w:tc>
        <w:tc>
          <w:tcPr>
            <w:tcW w:w="246" w:type="pct"/>
            <w:tcBorders>
              <w:top w:val="single" w:color="auto" w:sz="4" w:space="0"/>
              <w:left w:val="single" w:color="auto" w:sz="4" w:space="0"/>
              <w:bottom w:val="single" w:color="auto" w:sz="4" w:space="0"/>
              <w:right w:val="single" w:color="auto" w:sz="4" w:space="0"/>
            </w:tcBorders>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1.5</w:t>
            </w:r>
          </w:p>
        </w:tc>
        <w:tc>
          <w:tcPr>
            <w:tcW w:w="461" w:type="pct"/>
            <w:tcBorders>
              <w:top w:val="single" w:color="auto" w:sz="4" w:space="0"/>
              <w:left w:val="single" w:color="auto" w:sz="4" w:space="0"/>
              <w:bottom w:val="single" w:color="auto" w:sz="4" w:space="0"/>
              <w:right w:val="single" w:color="auto" w:sz="4" w:space="0"/>
            </w:tcBorders>
            <w:noWrap/>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1.5</w:t>
            </w:r>
          </w:p>
        </w:tc>
        <w:tc>
          <w:tcPr>
            <w:tcW w:w="88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b/>
                <w:bCs/>
                <w:color w:val="auto"/>
                <w:kern w:val="0"/>
                <w:sz w:val="24"/>
              </w:rPr>
              <w:t>会计基础信息完善性</w:t>
            </w:r>
            <w:r>
              <w:rPr>
                <w:rFonts w:ascii="宋体" w:hAnsi="宋体" w:cs="宋体"/>
                <w:b/>
                <w:bCs/>
                <w:color w:val="auto"/>
                <w:kern w:val="0"/>
                <w:sz w:val="24"/>
              </w:rPr>
              <w:t>:</w:t>
            </w:r>
            <w:r>
              <w:rPr>
                <w:rFonts w:hint="eastAsia" w:ascii="宋体" w:hAnsi="宋体" w:cs="宋体"/>
                <w:color w:val="auto"/>
                <w:kern w:val="0"/>
                <w:sz w:val="24"/>
              </w:rPr>
              <w:t>部门（单位）会计基础信息情况。</w:t>
            </w:r>
          </w:p>
        </w:tc>
        <w:tc>
          <w:tcPr>
            <w:tcW w:w="100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①基础数据信息和会计信息资料是否真实；②基础数据信息和会计信息资料是否完整；③基础数据信息和会计信息资料是否准确。每有一项不合格扣</w:t>
            </w:r>
            <w:r>
              <w:rPr>
                <w:rFonts w:ascii="宋体" w:hAnsi="宋体" w:cs="宋体"/>
                <w:color w:val="auto"/>
                <w:kern w:val="0"/>
                <w:sz w:val="24"/>
              </w:rPr>
              <w:t>0.5分，扣完为止。</w:t>
            </w:r>
          </w:p>
        </w:tc>
      </w:tr>
      <w:tr>
        <w:tblPrEx>
          <w:tblCellMar>
            <w:top w:w="0" w:type="dxa"/>
            <w:left w:w="108" w:type="dxa"/>
            <w:bottom w:w="0" w:type="dxa"/>
            <w:right w:w="108" w:type="dxa"/>
          </w:tblCellMar>
        </w:tblPrEx>
        <w:trPr>
          <w:cantSplit/>
          <w:trHeight w:val="4535" w:hRule="atLeast"/>
        </w:trPr>
        <w:tc>
          <w:tcPr>
            <w:tcW w:w="374"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362"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资产管理（</w:t>
            </w:r>
            <w:r>
              <w:rPr>
                <w:rFonts w:ascii="宋体" w:hAnsi="宋体" w:cs="宋体"/>
                <w:color w:val="auto"/>
                <w:kern w:val="0"/>
                <w:sz w:val="24"/>
              </w:rPr>
              <w:t>4）</w:t>
            </w:r>
          </w:p>
        </w:tc>
        <w:tc>
          <w:tcPr>
            <w:tcW w:w="60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资产管理规范性</w:t>
            </w:r>
          </w:p>
        </w:tc>
        <w:tc>
          <w:tcPr>
            <w:tcW w:w="704"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资产采购、日常管理符合资产管理相关规定</w:t>
            </w:r>
          </w:p>
        </w:tc>
        <w:tc>
          <w:tcPr>
            <w:tcW w:w="365"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sz w:val="24"/>
              </w:rPr>
              <w:t>基本规范</w:t>
            </w:r>
          </w:p>
        </w:tc>
        <w:tc>
          <w:tcPr>
            <w:tcW w:w="24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4</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4</w:t>
            </w:r>
          </w:p>
        </w:tc>
        <w:tc>
          <w:tcPr>
            <w:tcW w:w="88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b/>
                <w:bCs/>
                <w:color w:val="auto"/>
                <w:kern w:val="0"/>
                <w:sz w:val="24"/>
              </w:rPr>
              <w:t>资产管理规范性</w:t>
            </w:r>
            <w:r>
              <w:rPr>
                <w:rFonts w:ascii="宋体" w:hAnsi="宋体" w:cs="宋体"/>
                <w:b/>
                <w:bCs/>
                <w:color w:val="auto"/>
                <w:kern w:val="0"/>
                <w:sz w:val="24"/>
              </w:rPr>
              <w:t>:</w:t>
            </w:r>
            <w:r>
              <w:rPr>
                <w:rFonts w:hint="eastAsia" w:ascii="宋体" w:hAnsi="宋体" w:cs="宋体"/>
                <w:color w:val="auto"/>
                <w:kern w:val="0"/>
                <w:sz w:val="24"/>
              </w:rPr>
              <w:t>部门（单位）的资产是否保持安全完整，资产配置是否合理，资产使用和资产处理是否规范，用以反映和考核部门（单位）资产管理的整体水平。</w:t>
            </w:r>
          </w:p>
        </w:tc>
        <w:tc>
          <w:tcPr>
            <w:tcW w:w="100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w:t>
            </w:r>
            <w:r>
              <w:rPr>
                <w:rFonts w:ascii="宋体" w:hAnsi="宋体" w:cs="宋体"/>
                <w:color w:val="auto"/>
                <w:kern w:val="0"/>
                <w:sz w:val="24"/>
              </w:rPr>
              <w:t>0.8分，扣完为止。</w:t>
            </w:r>
          </w:p>
        </w:tc>
      </w:tr>
      <w:tr>
        <w:tblPrEx>
          <w:tblCellMar>
            <w:top w:w="0" w:type="dxa"/>
            <w:left w:w="108" w:type="dxa"/>
            <w:bottom w:w="0" w:type="dxa"/>
            <w:right w:w="108" w:type="dxa"/>
          </w:tblCellMar>
        </w:tblPrEx>
        <w:trPr>
          <w:cantSplit/>
          <w:trHeight w:val="2098" w:hRule="atLeast"/>
        </w:trPr>
        <w:tc>
          <w:tcPr>
            <w:tcW w:w="374"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362"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绩效管理（</w:t>
            </w:r>
            <w:r>
              <w:rPr>
                <w:rFonts w:ascii="宋体" w:hAnsi="宋体" w:cs="宋体"/>
                <w:color w:val="auto"/>
                <w:kern w:val="0"/>
                <w:sz w:val="24"/>
              </w:rPr>
              <w:t>4）</w:t>
            </w:r>
          </w:p>
        </w:tc>
        <w:tc>
          <w:tcPr>
            <w:tcW w:w="60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绩效管理情况</w:t>
            </w:r>
          </w:p>
        </w:tc>
        <w:tc>
          <w:tcPr>
            <w:tcW w:w="704"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绩效管理组织情况</w:t>
            </w:r>
          </w:p>
        </w:tc>
        <w:tc>
          <w:tcPr>
            <w:tcW w:w="365"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重视绩效管理，组织较好</w:t>
            </w:r>
          </w:p>
        </w:tc>
        <w:tc>
          <w:tcPr>
            <w:tcW w:w="24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4</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2.5</w:t>
            </w:r>
          </w:p>
        </w:tc>
        <w:tc>
          <w:tcPr>
            <w:tcW w:w="88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b/>
                <w:bCs/>
                <w:color w:val="auto"/>
                <w:kern w:val="0"/>
                <w:sz w:val="24"/>
              </w:rPr>
              <w:t>绩效管理情况</w:t>
            </w:r>
            <w:r>
              <w:rPr>
                <w:rFonts w:ascii="宋体" w:hAnsi="宋体" w:cs="宋体"/>
                <w:b/>
                <w:bCs/>
                <w:color w:val="auto"/>
                <w:kern w:val="0"/>
                <w:sz w:val="24"/>
              </w:rPr>
              <w:t>:</w:t>
            </w:r>
            <w:r>
              <w:rPr>
                <w:rFonts w:hint="eastAsia" w:ascii="宋体" w:hAnsi="宋体" w:cs="宋体"/>
                <w:color w:val="auto"/>
                <w:kern w:val="0"/>
                <w:sz w:val="24"/>
              </w:rPr>
              <w:t>考核部门（单位）在绩效管理信息的汇总和应用情况。</w:t>
            </w:r>
          </w:p>
        </w:tc>
        <w:tc>
          <w:tcPr>
            <w:tcW w:w="100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①部门（单位）是否及时对绩效信息进行汇总分析整理；②部门（单位）是否对绩效目标偏离情况及时进行矫正。每有一项不合格扣</w:t>
            </w:r>
            <w:r>
              <w:rPr>
                <w:rFonts w:ascii="宋体" w:hAnsi="宋体" w:cs="宋体"/>
                <w:color w:val="auto"/>
                <w:kern w:val="0"/>
                <w:sz w:val="24"/>
              </w:rPr>
              <w:t>2分。</w:t>
            </w:r>
          </w:p>
        </w:tc>
      </w:tr>
      <w:tr>
        <w:tblPrEx>
          <w:tblCellMar>
            <w:top w:w="0" w:type="dxa"/>
            <w:left w:w="108" w:type="dxa"/>
            <w:bottom w:w="0" w:type="dxa"/>
            <w:right w:w="108" w:type="dxa"/>
          </w:tblCellMar>
        </w:tblPrEx>
        <w:trPr>
          <w:cantSplit/>
          <w:trHeight w:val="3685" w:hRule="atLeast"/>
        </w:trPr>
        <w:tc>
          <w:tcPr>
            <w:tcW w:w="374"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362"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textAlignment w:val="auto"/>
              <w:rPr>
                <w:rFonts w:ascii="宋体" w:hAnsi="宋体" w:cs="宋体"/>
                <w:color w:val="auto"/>
                <w:kern w:val="0"/>
                <w:sz w:val="24"/>
              </w:rPr>
            </w:pPr>
            <w:r>
              <w:rPr>
                <w:rFonts w:hint="eastAsia" w:ascii="宋体" w:hAnsi="宋体" w:cs="宋体"/>
                <w:color w:val="auto"/>
                <w:kern w:val="0"/>
                <w:sz w:val="24"/>
              </w:rPr>
              <w:t>结转结余率（</w:t>
            </w:r>
            <w:r>
              <w:rPr>
                <w:rFonts w:ascii="宋体" w:hAnsi="宋体" w:cs="宋体"/>
                <w:color w:val="auto"/>
                <w:kern w:val="0"/>
                <w:sz w:val="24"/>
              </w:rPr>
              <w:t>4）</w:t>
            </w:r>
          </w:p>
        </w:tc>
        <w:tc>
          <w:tcPr>
            <w:tcW w:w="1310" w:type="pct"/>
            <w:gridSpan w:val="2"/>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11.5</w:t>
            </w:r>
            <w:r>
              <w:rPr>
                <w:rFonts w:hint="eastAsia" w:ascii="宋体" w:hAnsi="宋体" w:cs="宋体"/>
                <w:color w:val="auto"/>
                <w:kern w:val="0"/>
                <w:sz w:val="24"/>
                <w:lang w:val="en-US" w:eastAsia="zh-CN"/>
              </w:rPr>
              <w:t>3</w:t>
            </w:r>
            <w:r>
              <w:rPr>
                <w:rFonts w:ascii="宋体" w:hAnsi="宋体" w:cs="宋体"/>
                <w:color w:val="auto"/>
                <w:kern w:val="0"/>
                <w:sz w:val="24"/>
              </w:rPr>
              <w:t>%</w:t>
            </w:r>
          </w:p>
        </w:tc>
        <w:tc>
          <w:tcPr>
            <w:tcW w:w="365"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6.8%</w:t>
            </w:r>
          </w:p>
        </w:tc>
        <w:tc>
          <w:tcPr>
            <w:tcW w:w="24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4</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4</w:t>
            </w:r>
          </w:p>
        </w:tc>
        <w:tc>
          <w:tcPr>
            <w:tcW w:w="88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结转结余率</w:t>
            </w:r>
            <w:r>
              <w:rPr>
                <w:rFonts w:ascii="宋体" w:hAnsi="宋体" w:cs="宋体"/>
                <w:color w:val="auto"/>
                <w:kern w:val="0"/>
                <w:sz w:val="24"/>
              </w:rPr>
              <w:t>=结转结余总额/支出预算数×100%。</w:t>
            </w:r>
            <w:r>
              <w:rPr>
                <w:rFonts w:ascii="宋体" w:hAnsi="宋体" w:cs="宋体"/>
                <w:color w:val="auto"/>
                <w:kern w:val="0"/>
                <w:sz w:val="24"/>
              </w:rPr>
              <w:br w:type="textWrapping"/>
            </w:r>
            <w:r>
              <w:rPr>
                <w:rFonts w:hint="eastAsia" w:ascii="宋体" w:hAnsi="宋体" w:cs="宋体"/>
                <w:color w:val="auto"/>
                <w:kern w:val="0"/>
                <w:sz w:val="24"/>
              </w:rPr>
              <w:t>结转结余总额：部门（单位）本年度的结转资金与结余资金之和。</w:t>
            </w:r>
          </w:p>
        </w:tc>
        <w:tc>
          <w:tcPr>
            <w:tcW w:w="100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部门结转结余率低于上年的不扣分；高于上年结余率，每高出</w:t>
            </w:r>
            <w:r>
              <w:rPr>
                <w:rFonts w:ascii="宋体" w:hAnsi="宋体" w:cs="宋体"/>
                <w:color w:val="auto"/>
                <w:kern w:val="0"/>
                <w:sz w:val="24"/>
              </w:rPr>
              <w:t>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cantSplit/>
          <w:trHeight w:val="1757" w:hRule="atLeast"/>
        </w:trPr>
        <w:tc>
          <w:tcPr>
            <w:tcW w:w="374" w:type="pct"/>
            <w:vMerge w:val="continue"/>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p>
        </w:tc>
        <w:tc>
          <w:tcPr>
            <w:tcW w:w="362"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textAlignment w:val="auto"/>
              <w:rPr>
                <w:rFonts w:ascii="宋体" w:hAnsi="宋体" w:cs="宋体"/>
                <w:color w:val="auto"/>
                <w:kern w:val="0"/>
                <w:sz w:val="24"/>
              </w:rPr>
            </w:pPr>
            <w:r>
              <w:rPr>
                <w:rFonts w:hint="eastAsia" w:ascii="宋体" w:hAnsi="宋体" w:cs="宋体"/>
                <w:color w:val="auto"/>
                <w:kern w:val="0"/>
                <w:sz w:val="24"/>
              </w:rPr>
              <w:t>部门预决算差异率（</w:t>
            </w:r>
            <w:r>
              <w:rPr>
                <w:rFonts w:ascii="宋体" w:hAnsi="宋体" w:cs="宋体"/>
                <w:color w:val="auto"/>
                <w:kern w:val="0"/>
                <w:sz w:val="24"/>
              </w:rPr>
              <w:t>4）</w:t>
            </w:r>
          </w:p>
        </w:tc>
        <w:tc>
          <w:tcPr>
            <w:tcW w:w="1310" w:type="pct"/>
            <w:gridSpan w:val="2"/>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w:t>
            </w:r>
          </w:p>
        </w:tc>
        <w:tc>
          <w:tcPr>
            <w:tcW w:w="365"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lang w:val="en-US" w:eastAsia="zh-CN"/>
              </w:rPr>
              <w:t>13.01</w:t>
            </w:r>
            <w:r>
              <w:rPr>
                <w:rFonts w:ascii="宋体" w:hAnsi="宋体" w:cs="宋体"/>
                <w:color w:val="auto"/>
                <w:kern w:val="0"/>
                <w:sz w:val="24"/>
              </w:rPr>
              <w:t>%</w:t>
            </w:r>
          </w:p>
        </w:tc>
        <w:tc>
          <w:tcPr>
            <w:tcW w:w="24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4</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4</w:t>
            </w:r>
          </w:p>
        </w:tc>
        <w:tc>
          <w:tcPr>
            <w:tcW w:w="88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通过年度部门决算与年初部门预算对比，对部门的年度支出情况进行考核，衡量部门预算的约束力。</w:t>
            </w:r>
          </w:p>
        </w:tc>
        <w:tc>
          <w:tcPr>
            <w:tcW w:w="100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left"/>
              <w:textAlignment w:val="auto"/>
              <w:rPr>
                <w:rFonts w:ascii="宋体" w:hAnsi="宋体" w:cs="宋体"/>
                <w:color w:val="auto"/>
                <w:kern w:val="0"/>
                <w:sz w:val="24"/>
              </w:rPr>
            </w:pPr>
            <w:r>
              <w:rPr>
                <w:rFonts w:hint="eastAsia" w:ascii="宋体" w:hAnsi="宋体" w:cs="宋体"/>
                <w:color w:val="auto"/>
                <w:kern w:val="0"/>
                <w:sz w:val="24"/>
              </w:rPr>
              <w:t>部门预决算差异率高于市级平均差异率（</w:t>
            </w:r>
            <w:r>
              <w:rPr>
                <w:rFonts w:ascii="宋体" w:hAnsi="宋体" w:cs="宋体"/>
                <w:color w:val="auto"/>
                <w:kern w:val="0"/>
                <w:sz w:val="24"/>
              </w:rPr>
              <w:t>28.3%）的，每高出10%（含），扣0.4分，扣完为止。</w:t>
            </w:r>
          </w:p>
        </w:tc>
      </w:tr>
      <w:tr>
        <w:tblPrEx>
          <w:tblCellMar>
            <w:top w:w="0" w:type="dxa"/>
            <w:left w:w="108" w:type="dxa"/>
            <w:bottom w:w="0" w:type="dxa"/>
            <w:right w:w="108" w:type="dxa"/>
          </w:tblCellMar>
        </w:tblPrEx>
        <w:trPr>
          <w:cantSplit/>
          <w:trHeight w:val="484" w:hRule="atLeast"/>
        </w:trPr>
        <w:tc>
          <w:tcPr>
            <w:tcW w:w="2411" w:type="pct"/>
            <w:gridSpan w:val="5"/>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hint="eastAsia" w:ascii="宋体" w:hAnsi="宋体" w:cs="宋体"/>
                <w:color w:val="auto"/>
                <w:kern w:val="0"/>
                <w:sz w:val="24"/>
              </w:rPr>
              <w:t>合计</w:t>
            </w:r>
          </w:p>
        </w:tc>
        <w:tc>
          <w:tcPr>
            <w:tcW w:w="246"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100</w:t>
            </w:r>
          </w:p>
        </w:tc>
        <w:tc>
          <w:tcPr>
            <w:tcW w:w="461" w:type="pct"/>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r>
              <w:rPr>
                <w:rFonts w:ascii="宋体" w:hAnsi="宋体" w:cs="宋体"/>
                <w:color w:val="auto"/>
                <w:kern w:val="0"/>
                <w:sz w:val="24"/>
              </w:rPr>
              <w:t>94.9</w:t>
            </w:r>
          </w:p>
        </w:tc>
        <w:tc>
          <w:tcPr>
            <w:tcW w:w="1882" w:type="pct"/>
            <w:gridSpan w:val="2"/>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spacing w:line="560" w:lineRule="exact"/>
              <w:jc w:val="center"/>
              <w:textAlignment w:val="auto"/>
              <w:rPr>
                <w:rFonts w:ascii="宋体" w:hAnsi="宋体" w:cs="宋体"/>
                <w:color w:val="auto"/>
                <w:kern w:val="0"/>
                <w:sz w:val="24"/>
              </w:rPr>
            </w:pPr>
          </w:p>
        </w:tc>
      </w:tr>
    </w:tbl>
    <w:p>
      <w:pPr>
        <w:pageBreakBefore w:val="0"/>
        <w:kinsoku/>
        <w:wordWrap/>
        <w:overflowPunct/>
        <w:topLinePunct w:val="0"/>
        <w:autoSpaceDE/>
        <w:autoSpaceDN/>
        <w:bidi w:val="0"/>
        <w:spacing w:line="560" w:lineRule="exact"/>
        <w:textAlignment w:val="auto"/>
        <w:rPr>
          <w:rFonts w:ascii="方正小标宋简体" w:eastAsia="方正小标宋简体"/>
          <w:color w:val="auto"/>
          <w:sz w:val="36"/>
          <w:szCs w:val="36"/>
        </w:rPr>
      </w:pPr>
    </w:p>
    <w:sectPr>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rPr>
        <w:sz w:val="21"/>
        <w:szCs w:val="21"/>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24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Q5ZGU5OWM5MTFkZjUyMzc1MjY2NDhkNzliODdhYzUifQ=="/>
  </w:docVars>
  <w:rsids>
    <w:rsidRoot w:val="F77F09F4"/>
    <w:rsid w:val="0002275C"/>
    <w:rsid w:val="0002402B"/>
    <w:rsid w:val="00034884"/>
    <w:rsid w:val="00082134"/>
    <w:rsid w:val="000835B4"/>
    <w:rsid w:val="00085E16"/>
    <w:rsid w:val="000D2360"/>
    <w:rsid w:val="000D5355"/>
    <w:rsid w:val="000E764A"/>
    <w:rsid w:val="000E7690"/>
    <w:rsid w:val="00147944"/>
    <w:rsid w:val="00192BD5"/>
    <w:rsid w:val="001A30A2"/>
    <w:rsid w:val="001E7F3C"/>
    <w:rsid w:val="002227D7"/>
    <w:rsid w:val="002649DC"/>
    <w:rsid w:val="002760A3"/>
    <w:rsid w:val="00297806"/>
    <w:rsid w:val="002B6285"/>
    <w:rsid w:val="003504CB"/>
    <w:rsid w:val="00350B17"/>
    <w:rsid w:val="00357283"/>
    <w:rsid w:val="003A7F37"/>
    <w:rsid w:val="00431F45"/>
    <w:rsid w:val="00436D21"/>
    <w:rsid w:val="00456094"/>
    <w:rsid w:val="00480A34"/>
    <w:rsid w:val="004906F0"/>
    <w:rsid w:val="00496F2C"/>
    <w:rsid w:val="004B2A73"/>
    <w:rsid w:val="005616BB"/>
    <w:rsid w:val="00572C6B"/>
    <w:rsid w:val="00575FFF"/>
    <w:rsid w:val="005A5D21"/>
    <w:rsid w:val="005A7795"/>
    <w:rsid w:val="005C1CC4"/>
    <w:rsid w:val="005E2EEB"/>
    <w:rsid w:val="006014CF"/>
    <w:rsid w:val="006170A7"/>
    <w:rsid w:val="00652262"/>
    <w:rsid w:val="006D19E3"/>
    <w:rsid w:val="006E0F2F"/>
    <w:rsid w:val="00711579"/>
    <w:rsid w:val="007122F0"/>
    <w:rsid w:val="0076586D"/>
    <w:rsid w:val="00774F83"/>
    <w:rsid w:val="007D3261"/>
    <w:rsid w:val="00804937"/>
    <w:rsid w:val="00882144"/>
    <w:rsid w:val="008916BB"/>
    <w:rsid w:val="008A782D"/>
    <w:rsid w:val="008B232E"/>
    <w:rsid w:val="00937FEC"/>
    <w:rsid w:val="00954B44"/>
    <w:rsid w:val="009742BC"/>
    <w:rsid w:val="009E1D90"/>
    <w:rsid w:val="00A230A9"/>
    <w:rsid w:val="00A3762B"/>
    <w:rsid w:val="00A61688"/>
    <w:rsid w:val="00AA16D3"/>
    <w:rsid w:val="00AC3C56"/>
    <w:rsid w:val="00AF1EE3"/>
    <w:rsid w:val="00BD18C8"/>
    <w:rsid w:val="00BE45B3"/>
    <w:rsid w:val="00BF7E13"/>
    <w:rsid w:val="00C06017"/>
    <w:rsid w:val="00C33F0A"/>
    <w:rsid w:val="00C542D1"/>
    <w:rsid w:val="00C77F3F"/>
    <w:rsid w:val="00C82E4A"/>
    <w:rsid w:val="00C84E2D"/>
    <w:rsid w:val="00CE174F"/>
    <w:rsid w:val="00D11B3E"/>
    <w:rsid w:val="00D40B3B"/>
    <w:rsid w:val="00DF1D6B"/>
    <w:rsid w:val="00DF495C"/>
    <w:rsid w:val="00E01A15"/>
    <w:rsid w:val="00E5001F"/>
    <w:rsid w:val="00E707AB"/>
    <w:rsid w:val="00EB0482"/>
    <w:rsid w:val="00EB0DDD"/>
    <w:rsid w:val="00F27E39"/>
    <w:rsid w:val="00F30BAE"/>
    <w:rsid w:val="00F95B75"/>
    <w:rsid w:val="15914281"/>
    <w:rsid w:val="175F53D8"/>
    <w:rsid w:val="29661657"/>
    <w:rsid w:val="339C09C3"/>
    <w:rsid w:val="37173543"/>
    <w:rsid w:val="37F64A19"/>
    <w:rsid w:val="3BBF1B47"/>
    <w:rsid w:val="3DDF9238"/>
    <w:rsid w:val="3FDBA076"/>
    <w:rsid w:val="3FDFB3F0"/>
    <w:rsid w:val="3FDFC9A6"/>
    <w:rsid w:val="3FF76880"/>
    <w:rsid w:val="4CB00256"/>
    <w:rsid w:val="4EEC0438"/>
    <w:rsid w:val="59DF31C9"/>
    <w:rsid w:val="5ABD0489"/>
    <w:rsid w:val="5B6EE68B"/>
    <w:rsid w:val="5BFD4AC2"/>
    <w:rsid w:val="67759716"/>
    <w:rsid w:val="69DE59E0"/>
    <w:rsid w:val="6EB7BC22"/>
    <w:rsid w:val="6F7ED27B"/>
    <w:rsid w:val="75B17A7C"/>
    <w:rsid w:val="776FE830"/>
    <w:rsid w:val="7AB7FF50"/>
    <w:rsid w:val="7AEAF641"/>
    <w:rsid w:val="7BAD2729"/>
    <w:rsid w:val="7BFEB0DB"/>
    <w:rsid w:val="7C562502"/>
    <w:rsid w:val="7DDEF966"/>
    <w:rsid w:val="7EB67F3C"/>
    <w:rsid w:val="7EDD93ED"/>
    <w:rsid w:val="7F7C46F0"/>
    <w:rsid w:val="7FFF4E81"/>
    <w:rsid w:val="7FFF7B6D"/>
    <w:rsid w:val="7FFFD0D3"/>
    <w:rsid w:val="8716660E"/>
    <w:rsid w:val="93FB2C5B"/>
    <w:rsid w:val="A3AA735E"/>
    <w:rsid w:val="A75D4892"/>
    <w:rsid w:val="AFFFCE02"/>
    <w:rsid w:val="BDBF6A65"/>
    <w:rsid w:val="BFEF5764"/>
    <w:rsid w:val="CEFD3F3D"/>
    <w:rsid w:val="D6B22E60"/>
    <w:rsid w:val="DEF7A41B"/>
    <w:rsid w:val="EA3F77F2"/>
    <w:rsid w:val="EEFE5989"/>
    <w:rsid w:val="EFCF3EAE"/>
    <w:rsid w:val="F4FDEB06"/>
    <w:rsid w:val="F5B764A2"/>
    <w:rsid w:val="F777F535"/>
    <w:rsid w:val="F77F09F4"/>
    <w:rsid w:val="F7DFE0F3"/>
    <w:rsid w:val="FAEF2576"/>
    <w:rsid w:val="FBFF6E65"/>
    <w:rsid w:val="FDB61235"/>
    <w:rsid w:val="FDFBAA3B"/>
    <w:rsid w:val="FE2D0F64"/>
    <w:rsid w:val="FE7DE61F"/>
    <w:rsid w:val="FEEF6AA0"/>
    <w:rsid w:val="FFB792B8"/>
    <w:rsid w:val="FFBBABFE"/>
    <w:rsid w:val="FFD79F93"/>
    <w:rsid w:val="FFD7BFFC"/>
    <w:rsid w:val="FFFA6B0F"/>
    <w:rsid w:val="FFFCC831"/>
    <w:rsid w:val="FFFD6DB7"/>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qFormat="1" w:uiPriority="99"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adjustRightInd w:val="0"/>
      <w:snapToGrid w:val="0"/>
      <w:spacing w:before="50" w:beforeLines="50" w:after="50" w:afterLines="50" w:line="360" w:lineRule="auto"/>
      <w:ind w:firstLine="200" w:firstLineChars="200"/>
      <w:outlineLvl w:val="0"/>
    </w:pPr>
    <w:rPr>
      <w:rFonts w:ascii="黑体" w:hAnsi="黑体" w:eastAsia="黑体" w:cs="宋体"/>
      <w:color w:val="000000"/>
      <w:kern w:val="0"/>
      <w:sz w:val="32"/>
    </w:rPr>
  </w:style>
  <w:style w:type="paragraph" w:styleId="2">
    <w:name w:val="heading 2"/>
    <w:basedOn w:val="1"/>
    <w:next w:val="1"/>
    <w:qFormat/>
    <w:uiPriority w:val="0"/>
    <w:pPr>
      <w:keepNext/>
      <w:keepLines/>
      <w:spacing w:before="120" w:after="120" w:line="360" w:lineRule="auto"/>
      <w:ind w:firstLine="200" w:firstLineChars="200"/>
      <w:outlineLvl w:val="1"/>
    </w:pPr>
    <w:rPr>
      <w:rFonts w:ascii="Arial" w:hAnsi="Arial" w:eastAsia="楷体"/>
      <w:b/>
      <w:sz w:val="32"/>
    </w:rPr>
  </w:style>
  <w:style w:type="paragraph" w:styleId="4">
    <w:name w:val="heading 3"/>
    <w:basedOn w:val="1"/>
    <w:next w:val="1"/>
    <w:unhideWhenUsed/>
    <w:qFormat/>
    <w:uiPriority w:val="9"/>
    <w:pPr>
      <w:adjustRightInd w:val="0"/>
      <w:snapToGrid w:val="0"/>
      <w:spacing w:before="312" w:beforeLines="100" w:line="360" w:lineRule="auto"/>
      <w:ind w:firstLine="643" w:firstLineChars="200"/>
      <w:outlineLvl w:val="2"/>
    </w:pPr>
    <w:rPr>
      <w:rFonts w:ascii="仿宋" w:hAnsi="仿宋" w:eastAsia="仿宋"/>
      <w:b/>
      <w:kern w:val="0"/>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Body Text"/>
    <w:basedOn w:val="1"/>
    <w:next w:val="1"/>
    <w:qFormat/>
    <w:uiPriority w:val="0"/>
    <w:pPr>
      <w:spacing w:after="120" w:line="440" w:lineRule="exact"/>
    </w:pPr>
    <w:rPr>
      <w:rFonts w:eastAsia="仿宋_GB2312"/>
      <w:sz w:val="32"/>
    </w:rPr>
  </w:style>
  <w:style w:type="paragraph" w:styleId="6">
    <w:name w:val="Balloon Text"/>
    <w:basedOn w:val="1"/>
    <w:link w:val="19"/>
    <w:qFormat/>
    <w:uiPriority w:val="0"/>
    <w:rPr>
      <w:sz w:val="18"/>
      <w:szCs w:val="18"/>
    </w:rPr>
  </w:style>
  <w:style w:type="paragraph" w:styleId="7">
    <w:name w:val="footer"/>
    <w:basedOn w:val="1"/>
    <w:qFormat/>
    <w:uiPriority w:val="99"/>
    <w:pPr>
      <w:tabs>
        <w:tab w:val="center" w:pos="4153"/>
        <w:tab w:val="right" w:pos="8306"/>
      </w:tabs>
      <w:snapToGrid w:val="0"/>
      <w:jc w:val="left"/>
    </w:pPr>
    <w:rPr>
      <w:sz w:val="18"/>
      <w:szCs w:val="20"/>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unhideWhenUsed/>
    <w:qFormat/>
    <w:uiPriority w:val="39"/>
    <w:pPr>
      <w:spacing w:before="120" w:after="120"/>
      <w:jc w:val="left"/>
    </w:pPr>
    <w:rPr>
      <w:rFonts w:asciiTheme="minorHAnsi" w:hAnsiTheme="minorHAnsi" w:cstheme="minorHAnsi"/>
      <w:b/>
      <w:bCs/>
      <w:caps/>
      <w:sz w:val="20"/>
      <w:szCs w:val="20"/>
    </w:rPr>
  </w:style>
  <w:style w:type="paragraph" w:styleId="10">
    <w:name w:val="toc 2"/>
    <w:basedOn w:val="1"/>
    <w:next w:val="1"/>
    <w:unhideWhenUsed/>
    <w:qFormat/>
    <w:uiPriority w:val="39"/>
    <w:pPr>
      <w:tabs>
        <w:tab w:val="right" w:leader="dot" w:pos="8296"/>
      </w:tabs>
      <w:ind w:left="210" w:firstLine="400" w:firstLineChars="200"/>
      <w:jc w:val="left"/>
    </w:pPr>
    <w:rPr>
      <w:rFonts w:asciiTheme="minorHAnsi" w:hAnsiTheme="minorHAnsi" w:cstheme="minorHAnsi"/>
      <w:smallCaps/>
      <w:sz w:val="20"/>
      <w:szCs w:val="20"/>
    </w:rPr>
  </w:style>
  <w:style w:type="paragraph" w:styleId="11">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2">
    <w:name w:val="Normal (Web)"/>
    <w:basedOn w:val="1"/>
    <w:qFormat/>
    <w:uiPriority w:val="0"/>
    <w:pPr>
      <w:spacing w:before="100" w:beforeAutospacing="1" w:after="100" w:afterAutospacing="1"/>
      <w:jc w:val="left"/>
    </w:pPr>
    <w:rPr>
      <w:kern w:val="0"/>
      <w:sz w:val="24"/>
    </w:rPr>
  </w:style>
  <w:style w:type="character" w:styleId="15">
    <w:name w:val="Strong"/>
    <w:basedOn w:val="14"/>
    <w:qFormat/>
    <w:uiPriority w:val="0"/>
    <w:rPr>
      <w:b/>
    </w:rPr>
  </w:style>
  <w:style w:type="character" w:styleId="16">
    <w:name w:val="Hyperlink"/>
    <w:basedOn w:val="14"/>
    <w:unhideWhenUsed/>
    <w:qFormat/>
    <w:uiPriority w:val="99"/>
    <w:rPr>
      <w:color w:val="0563C1" w:themeColor="hyperlink"/>
      <w:u w:val="single"/>
      <w14:textFill>
        <w14:solidFill>
          <w14:schemeClr w14:val="hlink"/>
        </w14:solidFill>
      </w14:textFill>
    </w:rPr>
  </w:style>
  <w:style w:type="paragraph" w:customStyle="1" w:styleId="17">
    <w:name w:val="列出段落1"/>
    <w:basedOn w:val="1"/>
    <w:qFormat/>
    <w:uiPriority w:val="34"/>
    <w:pPr>
      <w:ind w:firstLine="420" w:firstLineChars="200"/>
    </w:pPr>
    <w:rPr>
      <w:rFonts w:ascii="Calibri" w:hAnsi="Calibri" w:cs="黑体"/>
      <w:szCs w:val="22"/>
    </w:rPr>
  </w:style>
  <w:style w:type="paragraph" w:styleId="18">
    <w:name w:val="List Paragraph"/>
    <w:basedOn w:val="1"/>
    <w:qFormat/>
    <w:uiPriority w:val="99"/>
    <w:pPr>
      <w:ind w:firstLine="420" w:firstLineChars="200"/>
    </w:pPr>
  </w:style>
  <w:style w:type="character" w:customStyle="1" w:styleId="19">
    <w:name w:val="批注框文本 字符"/>
    <w:basedOn w:val="14"/>
    <w:link w:val="6"/>
    <w:qFormat/>
    <w:uiPriority w:val="0"/>
    <w:rPr>
      <w:kern w:val="2"/>
      <w:sz w:val="18"/>
      <w:szCs w:val="18"/>
    </w:rPr>
  </w:style>
  <w:style w:type="paragraph" w:customStyle="1" w:styleId="20">
    <w:name w:val="Revision"/>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9801</Words>
  <Characters>10479</Characters>
  <Lines>86</Lines>
  <Paragraphs>24</Paragraphs>
  <TotalTime>18</TotalTime>
  <ScaleCrop>false</ScaleCrop>
  <LinksUpToDate>false</LinksUpToDate>
  <CharactersWithSpaces>10509</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2023-05-25T12:59:00Z</dcterms:created>
  <dc:creator>user</dc:creator>
  <cp:lastModifiedBy>user</cp:lastModifiedBy>
  <cp:lastPrinted>2023-06-06T01:05:00Z</cp:lastPrinted>
  <dcterms:modified xsi:type="dcterms:W3CDTF">2023-06-12T18:34:20Z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929D4C65763B4B76B783C793B59E4B19</vt:lpwstr>
  </property>
</Properties>
</file>